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B162" w14:textId="0ACE5FE0" w:rsidR="00FF3A4C" w:rsidRDefault="006F1B43" w:rsidP="000E7E7D">
      <w:pPr>
        <w:pStyle w:val="Title"/>
      </w:pPr>
      <w:r>
        <w:t>Guidance Note</w:t>
      </w:r>
      <w:r w:rsidR="0093402D">
        <w:t xml:space="preserve">: </w:t>
      </w:r>
      <w:r w:rsidR="00860A43">
        <w:t xml:space="preserve">Climate </w:t>
      </w:r>
      <w:proofErr w:type="gramStart"/>
      <w:r w:rsidR="00860A43">
        <w:t>resilience</w:t>
      </w:r>
      <w:proofErr w:type="gramEnd"/>
    </w:p>
    <w:p w14:paraId="640D7D9D" w14:textId="05316FCD" w:rsidR="00F56D30" w:rsidRDefault="00F56D30" w:rsidP="000E7E7D">
      <w:pPr>
        <w:pStyle w:val="Heading1"/>
      </w:pPr>
      <w:r>
        <w:t xml:space="preserve">What is </w:t>
      </w:r>
      <w:r w:rsidR="00860A43">
        <w:t>climate resilience</w:t>
      </w:r>
      <w:r>
        <w:t>?</w:t>
      </w:r>
    </w:p>
    <w:p w14:paraId="59124768" w14:textId="09A1F69A" w:rsidR="00860A43" w:rsidRDefault="00860A43" w:rsidP="00983E1E">
      <w:bookmarkStart w:id="0" w:name="_Hlk520298331"/>
      <w:r>
        <w:t>Climat</w:t>
      </w:r>
      <w:r w:rsidR="00983E1E">
        <w:t>e resilience refers to the</w:t>
      </w:r>
      <w:r w:rsidR="00EE39D1">
        <w:t xml:space="preserve"> degree to which the</w:t>
      </w:r>
      <w:r w:rsidR="00983E1E">
        <w:t xml:space="preserve"> </w:t>
      </w:r>
      <w:r w:rsidR="00EE39D1">
        <w:t>University (</w:t>
      </w:r>
      <w:r w:rsidR="008826CA">
        <w:t xml:space="preserve">people, estate, operations etc) </w:t>
      </w:r>
      <w:r w:rsidR="00EE39D1">
        <w:t>can</w:t>
      </w:r>
      <w:r w:rsidR="00640D2D">
        <w:t xml:space="preserve"> </w:t>
      </w:r>
      <w:r w:rsidR="006F1B43">
        <w:t xml:space="preserve">withstand </w:t>
      </w:r>
      <w:r w:rsidR="00A10CAE">
        <w:t xml:space="preserve">and recover from </w:t>
      </w:r>
      <w:r w:rsidR="006F1B43">
        <w:t xml:space="preserve">weather-related events. </w:t>
      </w:r>
      <w:r w:rsidR="00C631AF">
        <w:t xml:space="preserve">The </w:t>
      </w:r>
      <w:r w:rsidR="00983E1E">
        <w:t xml:space="preserve">University </w:t>
      </w:r>
      <w:r w:rsidR="008635CF">
        <w:t xml:space="preserve">seeks to appropriately </w:t>
      </w:r>
      <w:r w:rsidR="00983E1E">
        <w:t xml:space="preserve">avoid, </w:t>
      </w:r>
      <w:proofErr w:type="gramStart"/>
      <w:r w:rsidR="00983E1E">
        <w:t>mitigat</w:t>
      </w:r>
      <w:r w:rsidR="008635CF">
        <w:t>e</w:t>
      </w:r>
      <w:proofErr w:type="gramEnd"/>
      <w:r w:rsidR="00983E1E">
        <w:t xml:space="preserve"> and manag</w:t>
      </w:r>
      <w:r w:rsidR="008635CF">
        <w:t>e</w:t>
      </w:r>
      <w:r w:rsidR="00983E1E">
        <w:t xml:space="preserve"> short and long-term risks that weather events (and indirect weather-caused events) may have on things that </w:t>
      </w:r>
      <w:r w:rsidR="00333E12">
        <w:t xml:space="preserve">are important to </w:t>
      </w:r>
      <w:r w:rsidR="00983E1E">
        <w:t>the University</w:t>
      </w:r>
      <w:r w:rsidR="00C631AF">
        <w:t xml:space="preserve">. These </w:t>
      </w:r>
      <w:r w:rsidR="008826CA">
        <w:t xml:space="preserve">important </w:t>
      </w:r>
      <w:r w:rsidR="00C631AF">
        <w:t>things include:</w:t>
      </w:r>
    </w:p>
    <w:p w14:paraId="0DC506F7" w14:textId="56E21D3E" w:rsidR="00A10CAE" w:rsidRDefault="00A10CAE" w:rsidP="00A10CAE">
      <w:pPr>
        <w:pStyle w:val="ListParagraph"/>
        <w:numPr>
          <w:ilvl w:val="0"/>
          <w:numId w:val="2"/>
        </w:numPr>
      </w:pPr>
      <w:r>
        <w:t xml:space="preserve">Campus experience (including health and wellbeing of students, staff, industry partners, </w:t>
      </w:r>
      <w:proofErr w:type="gramStart"/>
      <w:r>
        <w:t>visitors</w:t>
      </w:r>
      <w:proofErr w:type="gramEnd"/>
      <w:r>
        <w:t xml:space="preserve"> and animals</w:t>
      </w:r>
      <w:r w:rsidR="0058532E">
        <w:t xml:space="preserve"> under the University’s care</w:t>
      </w:r>
      <w:r>
        <w:t>)</w:t>
      </w:r>
    </w:p>
    <w:p w14:paraId="453206C5" w14:textId="77777777" w:rsidR="00A10CAE" w:rsidRDefault="00A10CAE" w:rsidP="00A10CAE">
      <w:pPr>
        <w:pStyle w:val="ListParagraph"/>
        <w:numPr>
          <w:ilvl w:val="0"/>
          <w:numId w:val="2"/>
        </w:numPr>
      </w:pPr>
      <w:r>
        <w:t>Core business</w:t>
      </w:r>
    </w:p>
    <w:p w14:paraId="293431B2" w14:textId="77777777" w:rsidR="00A10CAE" w:rsidRDefault="00A10CAE" w:rsidP="00A10CAE">
      <w:pPr>
        <w:pStyle w:val="ListParagraph"/>
        <w:numPr>
          <w:ilvl w:val="1"/>
          <w:numId w:val="2"/>
        </w:numPr>
      </w:pPr>
      <w:r>
        <w:t>Teaching</w:t>
      </w:r>
    </w:p>
    <w:p w14:paraId="33D49840" w14:textId="77777777" w:rsidR="00A10CAE" w:rsidRDefault="00A10CAE" w:rsidP="00A10CAE">
      <w:pPr>
        <w:pStyle w:val="ListParagraph"/>
        <w:numPr>
          <w:ilvl w:val="1"/>
          <w:numId w:val="2"/>
        </w:numPr>
      </w:pPr>
      <w:r>
        <w:t>Research</w:t>
      </w:r>
    </w:p>
    <w:p w14:paraId="4D96E4FC" w14:textId="77777777" w:rsidR="00A10CAE" w:rsidRDefault="00A10CAE" w:rsidP="00A10CAE">
      <w:pPr>
        <w:pStyle w:val="ListParagraph"/>
        <w:numPr>
          <w:ilvl w:val="1"/>
          <w:numId w:val="2"/>
        </w:numPr>
      </w:pPr>
      <w:r>
        <w:t>Engagement</w:t>
      </w:r>
    </w:p>
    <w:p w14:paraId="5C5DC859" w14:textId="77777777" w:rsidR="00A10CAE" w:rsidRDefault="00A10CAE" w:rsidP="00A10CAE">
      <w:pPr>
        <w:pStyle w:val="ListParagraph"/>
        <w:numPr>
          <w:ilvl w:val="0"/>
          <w:numId w:val="2"/>
        </w:numPr>
      </w:pPr>
      <w:r>
        <w:t>Enablers</w:t>
      </w:r>
    </w:p>
    <w:p w14:paraId="5377D4FE" w14:textId="77777777" w:rsidR="00A10CAE" w:rsidRDefault="00A10CAE" w:rsidP="00A10CAE">
      <w:pPr>
        <w:pStyle w:val="ListParagraph"/>
        <w:numPr>
          <w:ilvl w:val="1"/>
          <w:numId w:val="2"/>
        </w:numPr>
      </w:pPr>
      <w:r>
        <w:t>Reputation</w:t>
      </w:r>
    </w:p>
    <w:p w14:paraId="2A781B85" w14:textId="77777777" w:rsidR="00A10CAE" w:rsidRDefault="00A10CAE" w:rsidP="00A10CAE">
      <w:pPr>
        <w:pStyle w:val="ListParagraph"/>
        <w:numPr>
          <w:ilvl w:val="1"/>
          <w:numId w:val="2"/>
        </w:numPr>
      </w:pPr>
      <w:r>
        <w:t>Financial viability</w:t>
      </w:r>
    </w:p>
    <w:p w14:paraId="3CA593F2" w14:textId="77777777" w:rsidR="00A10CAE" w:rsidRDefault="00A10CAE" w:rsidP="00A10CAE">
      <w:pPr>
        <w:pStyle w:val="ListParagraph"/>
        <w:numPr>
          <w:ilvl w:val="1"/>
          <w:numId w:val="2"/>
        </w:numPr>
      </w:pPr>
      <w:r>
        <w:t>University assets (including owned, leased, managed etc)</w:t>
      </w:r>
    </w:p>
    <w:p w14:paraId="0EB4F365" w14:textId="77777777" w:rsidR="00A10CAE" w:rsidRDefault="00A10CAE" w:rsidP="00A10CAE">
      <w:pPr>
        <w:pStyle w:val="ListParagraph"/>
        <w:numPr>
          <w:ilvl w:val="1"/>
          <w:numId w:val="2"/>
        </w:numPr>
      </w:pPr>
      <w:r>
        <w:t>External assets (</w:t>
      </w:r>
      <w:proofErr w:type="gramStart"/>
      <w:r>
        <w:t>e.g.</w:t>
      </w:r>
      <w:proofErr w:type="gramEnd"/>
      <w:r>
        <w:t xml:space="preserve"> utilities, roads, public transport etc)</w:t>
      </w:r>
    </w:p>
    <w:p w14:paraId="5CC603D0" w14:textId="18B76DD4" w:rsidR="00A10CAE" w:rsidRDefault="00A10CAE" w:rsidP="00A10CAE">
      <w:pPr>
        <w:pStyle w:val="ListParagraph"/>
        <w:numPr>
          <w:ilvl w:val="1"/>
          <w:numId w:val="2"/>
        </w:numPr>
      </w:pPr>
      <w:r>
        <w:t>Ecosystem</w:t>
      </w:r>
      <w:r w:rsidR="00037602">
        <w:t>s and the</w:t>
      </w:r>
      <w:r>
        <w:t xml:space="preserve"> services </w:t>
      </w:r>
      <w:r w:rsidR="00037602">
        <w:t xml:space="preserve">they provide </w:t>
      </w:r>
      <w:r>
        <w:t>(clear air, water etc)</w:t>
      </w:r>
    </w:p>
    <w:p w14:paraId="047A5893" w14:textId="4364D654" w:rsidR="00983E1E" w:rsidRDefault="00A10CAE" w:rsidP="00983E1E">
      <w:r>
        <w:t xml:space="preserve">Climate resilience </w:t>
      </w:r>
      <w:r w:rsidR="00983E1E">
        <w:t>activities include:</w:t>
      </w:r>
    </w:p>
    <w:p w14:paraId="7D755117" w14:textId="70A666CE" w:rsidR="00983E1E" w:rsidRDefault="00983E1E" w:rsidP="00983E1E">
      <w:pPr>
        <w:pStyle w:val="ListParagraph"/>
        <w:numPr>
          <w:ilvl w:val="0"/>
          <w:numId w:val="3"/>
        </w:numPr>
      </w:pPr>
      <w:r>
        <w:t>Appropriate building, infrastructure and landscaping design</w:t>
      </w:r>
      <w:r w:rsidR="00072554">
        <w:t xml:space="preserve">, </w:t>
      </w:r>
      <w:proofErr w:type="gramStart"/>
      <w:r w:rsidR="00072554">
        <w:t>construction</w:t>
      </w:r>
      <w:proofErr w:type="gramEnd"/>
      <w:r w:rsidR="008C67FC">
        <w:t xml:space="preserve"> and maintenance</w:t>
      </w:r>
    </w:p>
    <w:p w14:paraId="4577F8C6" w14:textId="670ECC46" w:rsidR="00983E1E" w:rsidRDefault="00983E1E" w:rsidP="00983E1E">
      <w:pPr>
        <w:pStyle w:val="ListParagraph"/>
        <w:numPr>
          <w:ilvl w:val="0"/>
          <w:numId w:val="3"/>
        </w:numPr>
      </w:pPr>
      <w:r>
        <w:t>Emergency Management Plans</w:t>
      </w:r>
    </w:p>
    <w:p w14:paraId="3DBF7764" w14:textId="3E26B514" w:rsidR="00983E1E" w:rsidRDefault="00983E1E" w:rsidP="00983E1E">
      <w:pPr>
        <w:pStyle w:val="ListParagraph"/>
        <w:numPr>
          <w:ilvl w:val="0"/>
          <w:numId w:val="3"/>
        </w:numPr>
      </w:pPr>
      <w:r>
        <w:t>Business Continuity Plans</w:t>
      </w:r>
    </w:p>
    <w:p w14:paraId="51DCFE6E" w14:textId="11518D42" w:rsidR="00072554" w:rsidRDefault="00072554" w:rsidP="00072554">
      <w:pPr>
        <w:pStyle w:val="ListParagraph"/>
        <w:numPr>
          <w:ilvl w:val="0"/>
          <w:numId w:val="3"/>
        </w:numPr>
      </w:pPr>
      <w:r>
        <w:t>Insurance</w:t>
      </w:r>
    </w:p>
    <w:p w14:paraId="16CE2169" w14:textId="0002EB7A" w:rsidR="007606F4" w:rsidRDefault="007606F4" w:rsidP="00072554">
      <w:pPr>
        <w:pStyle w:val="ListParagraph"/>
        <w:numPr>
          <w:ilvl w:val="0"/>
          <w:numId w:val="3"/>
        </w:numPr>
      </w:pPr>
      <w:r>
        <w:t xml:space="preserve">Information and </w:t>
      </w:r>
      <w:r w:rsidR="003E1690">
        <w:t>warnings ahead of, during and after potential weather-related events</w:t>
      </w:r>
    </w:p>
    <w:p w14:paraId="6DFD8DD0" w14:textId="568F9CC4" w:rsidR="008635CF" w:rsidRDefault="008635CF" w:rsidP="000B7853">
      <w:r>
        <w:t>There is an opportunity for building</w:t>
      </w:r>
      <w:r w:rsidR="000B7853">
        <w:t xml:space="preserve"> and public realm </w:t>
      </w:r>
      <w:r>
        <w:t xml:space="preserve">projects to reduce risks through their design and to support emergency management and recovery activities during and after events. </w:t>
      </w:r>
    </w:p>
    <w:p w14:paraId="20279709" w14:textId="34E86ECE" w:rsidR="00F56D30" w:rsidRDefault="00264B6F" w:rsidP="000E7E7D">
      <w:pPr>
        <w:pStyle w:val="Heading1"/>
      </w:pPr>
      <w:r>
        <w:t>Organisational context</w:t>
      </w:r>
    </w:p>
    <w:p w14:paraId="13E671EB" w14:textId="4FCA5AD1" w:rsidR="00333E12" w:rsidRDefault="00333E12" w:rsidP="00F56D30">
      <w:pPr>
        <w:rPr>
          <w:rFonts w:eastAsia="Times New Roman"/>
        </w:rPr>
      </w:pPr>
      <w:bookmarkStart w:id="1" w:name="_Hlk520298208"/>
      <w:r>
        <w:rPr>
          <w:rFonts w:eastAsia="Times New Roman"/>
        </w:rPr>
        <w:t xml:space="preserve">The </w:t>
      </w:r>
      <w:r w:rsidR="00264B6F">
        <w:rPr>
          <w:rFonts w:eastAsia="Times New Roman"/>
        </w:rPr>
        <w:t xml:space="preserve">organisational context for the </w:t>
      </w:r>
      <w:r>
        <w:rPr>
          <w:rFonts w:eastAsia="Times New Roman"/>
        </w:rPr>
        <w:t>University</w:t>
      </w:r>
      <w:r w:rsidR="00264B6F">
        <w:rPr>
          <w:rFonts w:eastAsia="Times New Roman"/>
        </w:rPr>
        <w:t>’s climate resilience activities</w:t>
      </w:r>
      <w:r w:rsidR="00F01CE9">
        <w:rPr>
          <w:rFonts w:eastAsia="Times New Roman"/>
        </w:rPr>
        <w:t xml:space="preserve"> related to the built environment</w:t>
      </w:r>
      <w:r w:rsidR="00264B6F">
        <w:rPr>
          <w:rFonts w:eastAsia="Times New Roman"/>
        </w:rPr>
        <w:t xml:space="preserve"> include</w:t>
      </w:r>
      <w:r>
        <w:rPr>
          <w:rFonts w:eastAsia="Times New Roman"/>
        </w:rPr>
        <w:t>:</w:t>
      </w:r>
    </w:p>
    <w:p w14:paraId="7FB74CBB" w14:textId="77777777" w:rsidR="00333E12" w:rsidRDefault="00333E12" w:rsidP="00F56D30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Risk Management Policy</w:t>
      </w:r>
      <w:r>
        <w:rPr>
          <w:rStyle w:val="FootnoteReference"/>
          <w:rFonts w:eastAsia="Times New Roman"/>
        </w:rPr>
        <w:footnoteReference w:id="2"/>
      </w:r>
      <w:r>
        <w:rPr>
          <w:rFonts w:eastAsia="Times New Roman"/>
        </w:rPr>
        <w:t xml:space="preserve">, which </w:t>
      </w:r>
      <w:r w:rsidRPr="00333E12">
        <w:rPr>
          <w:rFonts w:eastAsia="Times New Roman"/>
        </w:rPr>
        <w:t>outline</w:t>
      </w:r>
      <w:r>
        <w:rPr>
          <w:rFonts w:eastAsia="Times New Roman"/>
        </w:rPr>
        <w:t>s</w:t>
      </w:r>
      <w:r w:rsidRPr="00333E12">
        <w:rPr>
          <w:rFonts w:eastAsia="Times New Roman"/>
        </w:rPr>
        <w:t xml:space="preserve"> the Universit</w:t>
      </w:r>
      <w:r>
        <w:rPr>
          <w:rFonts w:eastAsia="Times New Roman"/>
        </w:rPr>
        <w:t xml:space="preserve">y’s approach to risk management and the associated roles and </w:t>
      </w:r>
      <w:proofErr w:type="gramStart"/>
      <w:r>
        <w:rPr>
          <w:rFonts w:eastAsia="Times New Roman"/>
        </w:rPr>
        <w:t>responsibilities</w:t>
      </w:r>
      <w:proofErr w:type="gramEnd"/>
      <w:r>
        <w:rPr>
          <w:rFonts w:eastAsia="Times New Roman"/>
        </w:rPr>
        <w:t xml:space="preserve"> </w:t>
      </w:r>
    </w:p>
    <w:p w14:paraId="612C14E3" w14:textId="08B2E5D0" w:rsidR="004F73C7" w:rsidRDefault="00BD33E1" w:rsidP="00F56D30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The University’s Risk </w:t>
      </w:r>
      <w:r w:rsidR="005923CB">
        <w:rPr>
          <w:rFonts w:eastAsia="Times New Roman"/>
        </w:rPr>
        <w:t xml:space="preserve">Management </w:t>
      </w:r>
      <w:r>
        <w:rPr>
          <w:rFonts w:eastAsia="Times New Roman"/>
        </w:rPr>
        <w:t>Framework</w:t>
      </w:r>
      <w:r w:rsidR="005923CB">
        <w:rPr>
          <w:rFonts w:eastAsia="Times New Roman"/>
        </w:rPr>
        <w:t xml:space="preserve"> 2023</w:t>
      </w:r>
      <w:r>
        <w:rPr>
          <w:rStyle w:val="FootnoteReference"/>
          <w:rFonts w:eastAsia="Times New Roman"/>
        </w:rPr>
        <w:footnoteReference w:id="3"/>
      </w:r>
    </w:p>
    <w:p w14:paraId="55B2013A" w14:textId="1801974C" w:rsidR="0082679F" w:rsidRPr="00A02148" w:rsidRDefault="003A2699" w:rsidP="00F56D30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A c</w:t>
      </w:r>
      <w:r w:rsidR="0082679F">
        <w:rPr>
          <w:rFonts w:eastAsia="Times New Roman"/>
        </w:rPr>
        <w:t xml:space="preserve">limate </w:t>
      </w:r>
      <w:r>
        <w:rPr>
          <w:rFonts w:eastAsia="Times New Roman"/>
        </w:rPr>
        <w:t>c</w:t>
      </w:r>
      <w:r w:rsidR="0082679F">
        <w:rPr>
          <w:rFonts w:eastAsia="Times New Roman"/>
        </w:rPr>
        <w:t>hange risk on the University Risk Register</w:t>
      </w:r>
      <w:r>
        <w:rPr>
          <w:rFonts w:eastAsia="Times New Roman"/>
        </w:rPr>
        <w:t>, monitored by the University Council Audit and Risk Committee</w:t>
      </w:r>
    </w:p>
    <w:p w14:paraId="47FDD8FC" w14:textId="0C88368B" w:rsidR="00222DB0" w:rsidRPr="00A02148" w:rsidRDefault="00983E1E" w:rsidP="00222DB0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333E12">
        <w:rPr>
          <w:rFonts w:eastAsia="Times New Roman"/>
          <w:i/>
        </w:rPr>
        <w:t xml:space="preserve">Sustainability Plan </w:t>
      </w:r>
      <w:r w:rsidR="0082679F">
        <w:rPr>
          <w:rFonts w:eastAsia="Times New Roman"/>
          <w:i/>
        </w:rPr>
        <w:t>2030</w:t>
      </w:r>
      <w:r w:rsidR="0082679F">
        <w:rPr>
          <w:rFonts w:eastAsia="Times New Roman"/>
        </w:rPr>
        <w:t xml:space="preserve"> priority related to Climate Resilience</w:t>
      </w:r>
      <w:r w:rsidR="004E630C">
        <w:rPr>
          <w:rFonts w:eastAsia="Times New Roman"/>
        </w:rPr>
        <w:t xml:space="preserve">. </w:t>
      </w:r>
    </w:p>
    <w:p w14:paraId="5D7987FE" w14:textId="43DBF01B" w:rsidR="00EA6E9A" w:rsidRPr="00EA6E9A" w:rsidRDefault="00F01CE9" w:rsidP="008635CF">
      <w:pPr>
        <w:rPr>
          <w:rFonts w:eastAsia="Times New Roman"/>
        </w:rPr>
      </w:pPr>
      <w:r>
        <w:rPr>
          <w:rFonts w:eastAsia="Times New Roman"/>
        </w:rPr>
        <w:t xml:space="preserve">The </w:t>
      </w:r>
      <w:r w:rsidR="00333E12">
        <w:rPr>
          <w:rFonts w:eastAsia="Times New Roman"/>
        </w:rPr>
        <w:t xml:space="preserve">University </w:t>
      </w:r>
      <w:r>
        <w:rPr>
          <w:rFonts w:eastAsia="Times New Roman"/>
        </w:rPr>
        <w:t>also considers climate change risk related to its financial investments</w:t>
      </w:r>
      <w:r w:rsidR="00BB466F">
        <w:rPr>
          <w:rFonts w:eastAsia="Times New Roman"/>
        </w:rPr>
        <w:t>. T</w:t>
      </w:r>
      <w:r>
        <w:rPr>
          <w:rFonts w:eastAsia="Times New Roman"/>
        </w:rPr>
        <w:t xml:space="preserve">his is not </w:t>
      </w:r>
      <w:r w:rsidR="00BB466F">
        <w:rPr>
          <w:rFonts w:eastAsia="Times New Roman"/>
        </w:rPr>
        <w:t xml:space="preserve">discussed further here because it is not </w:t>
      </w:r>
      <w:r>
        <w:rPr>
          <w:rFonts w:eastAsia="Times New Roman"/>
        </w:rPr>
        <w:t xml:space="preserve">directly relevant to </w:t>
      </w:r>
      <w:r w:rsidR="00EA01B6">
        <w:rPr>
          <w:rFonts w:eastAsia="Times New Roman"/>
        </w:rPr>
        <w:t>capital projects.</w:t>
      </w:r>
      <w:bookmarkEnd w:id="0"/>
      <w:bookmarkEnd w:id="1"/>
    </w:p>
    <w:p w14:paraId="4B8174A7" w14:textId="0DCCE9E0" w:rsidR="0093402D" w:rsidRDefault="0093402D" w:rsidP="000E7E7D">
      <w:pPr>
        <w:pStyle w:val="Heading1"/>
        <w:rPr>
          <w:rFonts w:eastAsia="Times New Roman"/>
        </w:rPr>
      </w:pPr>
      <w:r>
        <w:rPr>
          <w:rFonts w:eastAsia="Times New Roman"/>
        </w:rPr>
        <w:lastRenderedPageBreak/>
        <w:t>Approaches for projects</w:t>
      </w:r>
    </w:p>
    <w:p w14:paraId="11091145" w14:textId="567D0E8C" w:rsidR="008635CF" w:rsidRDefault="0062515B" w:rsidP="000B6A94">
      <w:r>
        <w:t>Design teams for major refurbishment and new building projects, refurbishments that house business critical activities or high-value contents, and significant public realm projects must</w:t>
      </w:r>
      <w:r w:rsidR="000B6A94">
        <w:t xml:space="preserve"> </w:t>
      </w:r>
      <w:r w:rsidR="003744D8">
        <w:t>follow</w:t>
      </w:r>
      <w:r w:rsidR="00833025">
        <w:t xml:space="preserve"> </w:t>
      </w:r>
      <w:r w:rsidR="000B6A94">
        <w:t xml:space="preserve">AS 5334:2013 </w:t>
      </w:r>
      <w:r w:rsidR="000B6A94" w:rsidRPr="00DB1F33">
        <w:rPr>
          <w:i/>
        </w:rPr>
        <w:t>Climate Change Adaptation for Settlements and Infrastructure</w:t>
      </w:r>
      <w:r w:rsidR="000B6A94">
        <w:t xml:space="preserve">. </w:t>
      </w:r>
      <w:r w:rsidR="006A4C1F">
        <w:t xml:space="preserve">The Standard follows AS/NZS ISO 31000:2009 </w:t>
      </w:r>
      <w:r w:rsidR="006A4C1F" w:rsidRPr="006A4C1F">
        <w:rPr>
          <w:i/>
        </w:rPr>
        <w:t>Risk management— principles and guidelines</w:t>
      </w:r>
      <w:r w:rsidR="006A4C1F">
        <w:t xml:space="preserve"> and</w:t>
      </w:r>
      <w:r w:rsidR="00115032">
        <w:t xml:space="preserve"> </w:t>
      </w:r>
      <w:r w:rsidR="008635CF">
        <w:t>guides projects through a qualitative risk assessment process, enabling projects to identify risks that need to be addressed or investigated further (see Detailed risk assessment).</w:t>
      </w:r>
    </w:p>
    <w:p w14:paraId="5FEF423B" w14:textId="6E8CB037" w:rsidR="00616528" w:rsidRDefault="00B63F8B" w:rsidP="00831A4F">
      <w:r>
        <w:t xml:space="preserve">At the time of writing this guidance note, </w:t>
      </w:r>
      <w:r w:rsidR="00173B11">
        <w:t xml:space="preserve">climate change risk assessments </w:t>
      </w:r>
      <w:r w:rsidR="00027A0E">
        <w:t xml:space="preserve">have been undertaken </w:t>
      </w:r>
      <w:r w:rsidR="00173B11">
        <w:t>for</w:t>
      </w:r>
      <w:r w:rsidR="00831A4F">
        <w:t xml:space="preserve"> multiple buildings, two whole campuses, and trees at Parkville.</w:t>
      </w:r>
    </w:p>
    <w:p w14:paraId="4A21FF7B" w14:textId="74F2FCBE" w:rsidR="00616528" w:rsidRDefault="00543745" w:rsidP="00616528">
      <w:r>
        <w:t xml:space="preserve">Based on the University’s experience with these assessments, the following are </w:t>
      </w:r>
      <w:r w:rsidR="00F50D75">
        <w:t>likely to result in higher quality, more useful adaptation plans:</w:t>
      </w:r>
    </w:p>
    <w:p w14:paraId="41276F36" w14:textId="5E43F67E" w:rsidR="006E29D7" w:rsidRDefault="006E29D7" w:rsidP="00D05AE8">
      <w:pPr>
        <w:pStyle w:val="ListParagraph"/>
        <w:numPr>
          <w:ilvl w:val="0"/>
          <w:numId w:val="12"/>
        </w:numPr>
      </w:pPr>
      <w:r>
        <w:t xml:space="preserve">Get end-user input to understand </w:t>
      </w:r>
      <w:r w:rsidR="00EB316A">
        <w:t>how facilities will be used</w:t>
      </w:r>
      <w:r w:rsidR="000D7527">
        <w:t xml:space="preserve"> and what an acceptable level of disruption is. </w:t>
      </w:r>
      <w:r w:rsidR="00C75EB3">
        <w:t xml:space="preserve">For example, student accommodation that is intended to house emergency services during a regional </w:t>
      </w:r>
      <w:r w:rsidR="0053752D">
        <w:t xml:space="preserve">emergency </w:t>
      </w:r>
      <w:r w:rsidR="00C75EB3">
        <w:t xml:space="preserve">event (as is the case at </w:t>
      </w:r>
      <w:proofErr w:type="gramStart"/>
      <w:r w:rsidR="00C75EB3">
        <w:t>Dookie</w:t>
      </w:r>
      <w:proofErr w:type="gramEnd"/>
      <w:r w:rsidR="00C75EB3">
        <w:t xml:space="preserve">) will need to be more resilient than student accommodation that can be </w:t>
      </w:r>
      <w:r w:rsidR="00E8704C">
        <w:t xml:space="preserve">vacated </w:t>
      </w:r>
      <w:r w:rsidR="002D2405">
        <w:t xml:space="preserve">or suffer disruption </w:t>
      </w:r>
      <w:r w:rsidR="00E8704C">
        <w:t>during such events.</w:t>
      </w:r>
    </w:p>
    <w:p w14:paraId="6ADC0566" w14:textId="4D5B4308" w:rsidR="006A4C1F" w:rsidRDefault="00F50D75" w:rsidP="00D05AE8">
      <w:pPr>
        <w:pStyle w:val="ListParagraph"/>
        <w:numPr>
          <w:ilvl w:val="0"/>
          <w:numId w:val="12"/>
        </w:numPr>
      </w:pPr>
      <w:r>
        <w:t>C</w:t>
      </w:r>
      <w:r w:rsidR="006A4C1F">
        <w:t>onsider risks to people</w:t>
      </w:r>
      <w:r w:rsidR="007C78BD">
        <w:t xml:space="preserve"> (wellbeing and </w:t>
      </w:r>
      <w:r w:rsidR="00543745">
        <w:t xml:space="preserve">the </w:t>
      </w:r>
      <w:r w:rsidR="007C78BD">
        <w:t>activities</w:t>
      </w:r>
      <w:r w:rsidR="00543745">
        <w:t xml:space="preserve"> they undertake</w:t>
      </w:r>
      <w:r w:rsidR="00A216C5">
        <w:t>)</w:t>
      </w:r>
      <w:r w:rsidR="006A4C1F">
        <w:t>,</w:t>
      </w:r>
      <w:r w:rsidR="002C2CB4">
        <w:t xml:space="preserve"> animals</w:t>
      </w:r>
      <w:r w:rsidR="00A65CF1">
        <w:t xml:space="preserve"> (both wild and those under the University’s care)</w:t>
      </w:r>
      <w:r w:rsidR="002C2CB4">
        <w:t>, ecosystems</w:t>
      </w:r>
      <w:r>
        <w:t>,</w:t>
      </w:r>
      <w:r w:rsidR="00A65CF1">
        <w:t xml:space="preserve"> </w:t>
      </w:r>
      <w:r w:rsidR="007C78BD">
        <w:t xml:space="preserve">and </w:t>
      </w:r>
      <w:proofErr w:type="gramStart"/>
      <w:r w:rsidR="002C2CB4">
        <w:t>assets</w:t>
      </w:r>
      <w:proofErr w:type="gramEnd"/>
    </w:p>
    <w:p w14:paraId="45076BBF" w14:textId="162AF216" w:rsidR="00173B11" w:rsidRDefault="003A2A3A" w:rsidP="00173B11">
      <w:pPr>
        <w:pStyle w:val="ListParagraph"/>
        <w:numPr>
          <w:ilvl w:val="0"/>
          <w:numId w:val="12"/>
        </w:numPr>
      </w:pPr>
      <w:r>
        <w:t>C</w:t>
      </w:r>
      <w:r w:rsidR="00173B11">
        <w:t xml:space="preserve">onsider how the project can </w:t>
      </w:r>
      <w:r w:rsidR="000F1235">
        <w:t>increase</w:t>
      </w:r>
      <w:r w:rsidR="00173B11">
        <w:t xml:space="preserve"> the adaptive capacity (ability to cope) for people</w:t>
      </w:r>
      <w:r w:rsidR="00DB4777">
        <w:t xml:space="preserve">, </w:t>
      </w:r>
      <w:proofErr w:type="gramStart"/>
      <w:r w:rsidR="00173B11">
        <w:t>animals</w:t>
      </w:r>
      <w:proofErr w:type="gramEnd"/>
      <w:r w:rsidR="00DB4777">
        <w:t xml:space="preserve"> and ecosystems</w:t>
      </w:r>
      <w:r>
        <w:t>, includin</w:t>
      </w:r>
      <w:r w:rsidR="002C2CB4">
        <w:t xml:space="preserve">g </w:t>
      </w:r>
      <w:r w:rsidR="006A0C86">
        <w:t xml:space="preserve">those </w:t>
      </w:r>
      <w:r w:rsidR="002C2CB4">
        <w:t xml:space="preserve">beyond the project’s </w:t>
      </w:r>
      <w:r w:rsidR="008635CF">
        <w:t xml:space="preserve">immediate </w:t>
      </w:r>
      <w:r w:rsidR="002C2CB4">
        <w:t>boundary</w:t>
      </w:r>
      <w:r w:rsidR="008635CF">
        <w:rPr>
          <w:rStyle w:val="FootnoteReference"/>
        </w:rPr>
        <w:footnoteReference w:id="4"/>
      </w:r>
    </w:p>
    <w:p w14:paraId="1F83C8D0" w14:textId="134C7B56" w:rsidR="007B3117" w:rsidRDefault="00173B11" w:rsidP="00D05AE8">
      <w:pPr>
        <w:pStyle w:val="ListParagraph"/>
        <w:numPr>
          <w:ilvl w:val="0"/>
          <w:numId w:val="12"/>
        </w:numPr>
      </w:pPr>
      <w:r>
        <w:t>Define risks in ways that are meaningful for the University</w:t>
      </w:r>
      <w:r w:rsidR="003A2A3A">
        <w:t>’s risk management systems</w:t>
      </w:r>
      <w:r w:rsidR="002D6313">
        <w:t xml:space="preserve">. Note that there are (at least) 3 different risk </w:t>
      </w:r>
      <w:r w:rsidR="00642D47">
        <w:t>matrices</w:t>
      </w:r>
      <w:r w:rsidR="007B3117">
        <w:t xml:space="preserve"> used within the University:</w:t>
      </w:r>
    </w:p>
    <w:p w14:paraId="22B8DED0" w14:textId="1BA6F0CF" w:rsidR="00454E37" w:rsidRDefault="003E0A51" w:rsidP="00454E37">
      <w:pPr>
        <w:pStyle w:val="ListParagraph"/>
        <w:numPr>
          <w:ilvl w:val="1"/>
          <w:numId w:val="12"/>
        </w:numPr>
      </w:pPr>
      <w:hyperlink r:id="rId10" w:history="1">
        <w:r w:rsidR="00454E37" w:rsidRPr="00490234">
          <w:rPr>
            <w:rStyle w:val="Hyperlink"/>
          </w:rPr>
          <w:t>Health and Safety</w:t>
        </w:r>
      </w:hyperlink>
      <w:r w:rsidR="00FE7BB9">
        <w:t xml:space="preserve"> </w:t>
      </w:r>
    </w:p>
    <w:p w14:paraId="65645556" w14:textId="6743D9F7" w:rsidR="00454E37" w:rsidRDefault="003E0A51" w:rsidP="00454E37">
      <w:pPr>
        <w:pStyle w:val="ListParagraph"/>
        <w:numPr>
          <w:ilvl w:val="1"/>
          <w:numId w:val="12"/>
        </w:numPr>
      </w:pPr>
      <w:hyperlink r:id="rId11" w:history="1">
        <w:r w:rsidR="00FE7BB9" w:rsidRPr="00490234">
          <w:rPr>
            <w:rStyle w:val="Hyperlink"/>
          </w:rPr>
          <w:t>Projects</w:t>
        </w:r>
      </w:hyperlink>
      <w:r w:rsidR="00642D47">
        <w:t xml:space="preserve"> (use this one for climate change risk assessments unless instructed otherwise by the University’s project manager</w:t>
      </w:r>
      <w:r w:rsidR="008540B0">
        <w:t xml:space="preserve"> – see later in this document for a copy</w:t>
      </w:r>
      <w:r w:rsidR="00642D47">
        <w:t>)</w:t>
      </w:r>
    </w:p>
    <w:p w14:paraId="5A880C04" w14:textId="0FEB468D" w:rsidR="00642D47" w:rsidRDefault="003E0A51" w:rsidP="00A02148">
      <w:pPr>
        <w:pStyle w:val="ListParagraph"/>
        <w:numPr>
          <w:ilvl w:val="1"/>
          <w:numId w:val="12"/>
        </w:numPr>
      </w:pPr>
      <w:hyperlink r:id="rId12" w:history="1">
        <w:r w:rsidR="00FE7BB9" w:rsidRPr="00534272">
          <w:rPr>
            <w:rStyle w:val="Hyperlink"/>
          </w:rPr>
          <w:t>Organisational</w:t>
        </w:r>
      </w:hyperlink>
    </w:p>
    <w:p w14:paraId="2C9A641F" w14:textId="4FFE435F" w:rsidR="0092545C" w:rsidRDefault="002C2CB4" w:rsidP="00642D47">
      <w:pPr>
        <w:pStyle w:val="ListParagraph"/>
        <w:numPr>
          <w:ilvl w:val="0"/>
          <w:numId w:val="12"/>
        </w:numPr>
      </w:pPr>
      <w:r>
        <w:t>Clearly d</w:t>
      </w:r>
      <w:r w:rsidR="00D05AE8">
        <w:t>ocument risks</w:t>
      </w:r>
      <w:r w:rsidR="00F42A9E">
        <w:t>,</w:t>
      </w:r>
      <w:r w:rsidR="00D05AE8">
        <w:t xml:space="preserve"> the design </w:t>
      </w:r>
      <w:r w:rsidR="0092545C">
        <w:t xml:space="preserve">/ construction </w:t>
      </w:r>
      <w:proofErr w:type="gramStart"/>
      <w:r w:rsidR="00D05AE8">
        <w:t>response</w:t>
      </w:r>
      <w:proofErr w:type="gramEnd"/>
      <w:r w:rsidR="00D05AE8">
        <w:t xml:space="preserve"> and </w:t>
      </w:r>
      <w:r w:rsidR="00F42A9E">
        <w:t>the residual risk</w:t>
      </w:r>
      <w:r w:rsidR="0092545C">
        <w:t>.</w:t>
      </w:r>
    </w:p>
    <w:p w14:paraId="3662569E" w14:textId="79471BEA" w:rsidR="0087637F" w:rsidRDefault="0087637F" w:rsidP="0087637F">
      <w:pPr>
        <w:pStyle w:val="ListParagraph"/>
        <w:numPr>
          <w:ilvl w:val="0"/>
          <w:numId w:val="12"/>
        </w:numPr>
      </w:pPr>
      <w:r>
        <w:t xml:space="preserve">Document the operational implications of proposed design-stage mitigations. For example, a back-up generator to mitigate loss of power requires fuel and maintenance; </w:t>
      </w:r>
      <w:proofErr w:type="gramStart"/>
      <w:r>
        <w:t>similarly</w:t>
      </w:r>
      <w:proofErr w:type="gramEnd"/>
      <w:r>
        <w:t xml:space="preserve"> an automated flood barrier to mitigate flood risk requires scheduled maintenance.</w:t>
      </w:r>
    </w:p>
    <w:p w14:paraId="0275E9D7" w14:textId="2AB95043" w:rsidR="000A54DF" w:rsidRDefault="0092545C" w:rsidP="002C639F">
      <w:pPr>
        <w:pStyle w:val="ListParagraph"/>
      </w:pPr>
      <w:r>
        <w:t xml:space="preserve">Clearly document and get University sign-off </w:t>
      </w:r>
      <w:r w:rsidR="001D36A0">
        <w:t xml:space="preserve">for </w:t>
      </w:r>
      <w:r w:rsidR="00D05AE8">
        <w:t>any residual risk</w:t>
      </w:r>
      <w:r w:rsidR="002C2CB4">
        <w:t>s</w:t>
      </w:r>
      <w:r w:rsidR="00D05AE8">
        <w:t xml:space="preserve"> that require op</w:t>
      </w:r>
      <w:r w:rsidR="002C2CB4">
        <w:t>erational risk management</w:t>
      </w:r>
      <w:r w:rsidR="00AE73ED">
        <w:t xml:space="preserve"> to reduce</w:t>
      </w:r>
      <w:r w:rsidR="00094280">
        <w:t xml:space="preserve"> the risk</w:t>
      </w:r>
      <w:r w:rsidR="00AE73ED">
        <w:t xml:space="preserve"> to an acceptable level</w:t>
      </w:r>
      <w:r w:rsidR="003D21E8">
        <w:t xml:space="preserve">. </w:t>
      </w:r>
      <w:r w:rsidR="000A54DF">
        <w:t xml:space="preserve">Responsibility for any operational activities must be allocated to, </w:t>
      </w:r>
      <w:r w:rsidR="000A54DF" w:rsidRPr="003D21E8">
        <w:rPr>
          <w:i/>
        </w:rPr>
        <w:t>and accepted by,</w:t>
      </w:r>
      <w:r w:rsidR="000A54DF">
        <w:t xml:space="preserve"> a specific team or role within the University.</w:t>
      </w:r>
      <w:r w:rsidR="002C639F">
        <w:t xml:space="preserve"> </w:t>
      </w:r>
      <w:r w:rsidR="000A54DF">
        <w:t>Generic terms such as “UoM facility manager” are not appropriate.</w:t>
      </w:r>
    </w:p>
    <w:p w14:paraId="67856C94" w14:textId="6A8F9CAB" w:rsidR="00FA56D8" w:rsidRDefault="00223430" w:rsidP="00A02148">
      <w:pPr>
        <w:pStyle w:val="ListParagraph"/>
        <w:numPr>
          <w:ilvl w:val="0"/>
          <w:numId w:val="12"/>
        </w:numPr>
      </w:pPr>
      <w:r>
        <w:t>Undertake detailed risk assessment</w:t>
      </w:r>
      <w:r w:rsidR="00AE73ED">
        <w:t>s</w:t>
      </w:r>
      <w:r>
        <w:t xml:space="preserve"> where </w:t>
      </w:r>
      <w:proofErr w:type="gramStart"/>
      <w:r>
        <w:t>appropriate</w:t>
      </w:r>
      <w:proofErr w:type="gramEnd"/>
    </w:p>
    <w:p w14:paraId="61E3B05E" w14:textId="683F913B" w:rsidR="002C639F" w:rsidRDefault="002C639F" w:rsidP="002C639F">
      <w:r>
        <w:t>Further information is provided on some of these points in the following sections.</w:t>
      </w:r>
    </w:p>
    <w:p w14:paraId="089C1DBC" w14:textId="77777777" w:rsidR="005729D0" w:rsidRDefault="005729D0" w:rsidP="000E7E7D">
      <w:pPr>
        <w:pStyle w:val="Heading2"/>
      </w:pPr>
      <w:r>
        <w:t>Increasing adaptive capacity (ability to cope)</w:t>
      </w:r>
    </w:p>
    <w:p w14:paraId="682D6EC4" w14:textId="478FDA91" w:rsidR="005729D0" w:rsidRDefault="00D517BE" w:rsidP="005729D0">
      <w:r>
        <w:t>Project teams should ask:</w:t>
      </w:r>
      <w:r w:rsidR="005729D0">
        <w:t xml:space="preserve"> </w:t>
      </w:r>
      <w:r w:rsidR="005729D0" w:rsidRPr="00FD54EF">
        <w:rPr>
          <w:i/>
        </w:rPr>
        <w:t xml:space="preserve">How can the project increase the adaptive capacity of people (and animals) </w:t>
      </w:r>
      <w:r w:rsidR="005729D0">
        <w:rPr>
          <w:i/>
        </w:rPr>
        <w:t xml:space="preserve">that in the future will be </w:t>
      </w:r>
      <w:r w:rsidR="005729D0" w:rsidRPr="00FD54EF">
        <w:rPr>
          <w:i/>
        </w:rPr>
        <w:t xml:space="preserve">within </w:t>
      </w:r>
      <w:r w:rsidR="005729D0">
        <w:rPr>
          <w:i/>
        </w:rPr>
        <w:t xml:space="preserve">or </w:t>
      </w:r>
      <w:r w:rsidR="005729D0" w:rsidRPr="00FD54EF">
        <w:rPr>
          <w:i/>
        </w:rPr>
        <w:t>near the project</w:t>
      </w:r>
      <w:r w:rsidR="005729D0">
        <w:rPr>
          <w:i/>
        </w:rPr>
        <w:t xml:space="preserve"> area</w:t>
      </w:r>
      <w:r w:rsidR="005729D0" w:rsidRPr="00FD54EF">
        <w:rPr>
          <w:i/>
        </w:rPr>
        <w:t>?</w:t>
      </w:r>
    </w:p>
    <w:p w14:paraId="2B7FB28E" w14:textId="71CBF06E" w:rsidR="005729D0" w:rsidRDefault="005729D0">
      <w:pPr>
        <w:rPr>
          <w:i/>
          <w:iCs/>
          <w:color w:val="44546A" w:themeColor="text2"/>
          <w:sz w:val="18"/>
          <w:szCs w:val="18"/>
        </w:rPr>
      </w:pPr>
      <w:r>
        <w:lastRenderedPageBreak/>
        <w:t xml:space="preserve">Asking this question promotes </w:t>
      </w:r>
      <w:r w:rsidR="00F54AE7">
        <w:t>living system</w:t>
      </w:r>
      <w:r>
        <w:t xml:space="preserve">-centred design and consideration of how the project can also improve the resilience of communities </w:t>
      </w:r>
      <w:r w:rsidR="00F54AE7">
        <w:t xml:space="preserve">and ecosystems </w:t>
      </w:r>
      <w:r>
        <w:t>neighbouring the project</w:t>
      </w:r>
      <w:r>
        <w:rPr>
          <w:rStyle w:val="FootnoteReference"/>
        </w:rPr>
        <w:footnoteReference w:id="5"/>
      </w:r>
      <w:r>
        <w:t xml:space="preserve">. </w:t>
      </w:r>
      <w:r>
        <w:fldChar w:fldCharType="begin"/>
      </w:r>
      <w:r>
        <w:instrText xml:space="preserve"> REF _Ref525711680 \h </w:instrText>
      </w:r>
      <w:r>
        <w:fldChar w:fldCharType="separate"/>
      </w:r>
      <w:r w:rsidR="00A02148">
        <w:t xml:space="preserve">Table </w:t>
      </w:r>
      <w:r w:rsidR="00A02148">
        <w:rPr>
          <w:noProof/>
        </w:rPr>
        <w:t>1</w:t>
      </w:r>
      <w:r>
        <w:fldChar w:fldCharType="end"/>
      </w:r>
      <w:r>
        <w:t xml:space="preserve"> provides some examples of how adaptive capacity can be conceptualised and increased</w:t>
      </w:r>
      <w:r w:rsidR="00F54AE7">
        <w:t xml:space="preserve"> for staff</w:t>
      </w:r>
      <w:r>
        <w:t>.</w:t>
      </w:r>
      <w:bookmarkStart w:id="2" w:name="_Ref525711680"/>
    </w:p>
    <w:p w14:paraId="3054F704" w14:textId="70D61185" w:rsidR="00173B11" w:rsidRDefault="00FD54EF" w:rsidP="00FD54EF">
      <w:pPr>
        <w:pStyle w:val="Caption"/>
      </w:pPr>
      <w:r>
        <w:t xml:space="preserve">Table </w:t>
      </w:r>
      <w:r w:rsidR="003E0A51">
        <w:fldChar w:fldCharType="begin"/>
      </w:r>
      <w:r w:rsidR="003E0A51">
        <w:instrText xml:space="preserve"> SEQ Table \* ARABIC </w:instrText>
      </w:r>
      <w:r w:rsidR="003E0A51">
        <w:fldChar w:fldCharType="separate"/>
      </w:r>
      <w:r w:rsidR="00F54AE7">
        <w:rPr>
          <w:noProof/>
        </w:rPr>
        <w:t>1</w:t>
      </w:r>
      <w:r w:rsidR="003E0A51">
        <w:rPr>
          <w:noProof/>
        </w:rPr>
        <w:fldChar w:fldCharType="end"/>
      </w:r>
      <w:bookmarkEnd w:id="2"/>
      <w:r>
        <w:t xml:space="preserve"> – Examples of increasing adaptive </w:t>
      </w:r>
      <w:proofErr w:type="gramStart"/>
      <w:r>
        <w:t>capacity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5052"/>
      </w:tblGrid>
      <w:tr w:rsidR="00173B11" w:rsidRPr="002A092B" w14:paraId="0B811D14" w14:textId="77777777" w:rsidTr="00FA56D8">
        <w:tc>
          <w:tcPr>
            <w:tcW w:w="1413" w:type="dxa"/>
            <w:vAlign w:val="center"/>
          </w:tcPr>
          <w:p w14:paraId="4695291F" w14:textId="195F19D0" w:rsidR="00173B11" w:rsidRPr="002A092B" w:rsidRDefault="00FD54EF" w:rsidP="00FD54EF">
            <w:pPr>
              <w:jc w:val="center"/>
              <w:rPr>
                <w:b/>
              </w:rPr>
            </w:pPr>
            <w:r>
              <w:rPr>
                <w:b/>
              </w:rPr>
              <w:t>Types</w:t>
            </w:r>
            <w:r w:rsidR="00173B11">
              <w:rPr>
                <w:b/>
              </w:rPr>
              <w:t xml:space="preserve"> of adaptive capacity</w:t>
            </w:r>
            <w:r w:rsidR="000F1235">
              <w:rPr>
                <w:rStyle w:val="FootnoteReference"/>
                <w:b/>
              </w:rPr>
              <w:footnoteReference w:id="6"/>
            </w:r>
          </w:p>
        </w:tc>
        <w:tc>
          <w:tcPr>
            <w:tcW w:w="2551" w:type="dxa"/>
            <w:vAlign w:val="center"/>
          </w:tcPr>
          <w:p w14:paraId="63576DD7" w14:textId="77777777" w:rsidR="00173B11" w:rsidRPr="002A092B" w:rsidRDefault="00173B11" w:rsidP="00FD54EF">
            <w:pPr>
              <w:jc w:val="center"/>
              <w:rPr>
                <w:b/>
              </w:rPr>
            </w:pPr>
            <w:r w:rsidRPr="002A092B">
              <w:rPr>
                <w:b/>
              </w:rPr>
              <w:t>Description</w:t>
            </w:r>
          </w:p>
        </w:tc>
        <w:tc>
          <w:tcPr>
            <w:tcW w:w="5052" w:type="dxa"/>
            <w:vAlign w:val="center"/>
          </w:tcPr>
          <w:p w14:paraId="2C1DBA4E" w14:textId="4892A903" w:rsidR="00173B11" w:rsidRPr="002A092B" w:rsidRDefault="00626069" w:rsidP="00FD54EF">
            <w:pPr>
              <w:jc w:val="center"/>
              <w:rPr>
                <w:b/>
              </w:rPr>
            </w:pPr>
            <w:r>
              <w:rPr>
                <w:b/>
              </w:rPr>
              <w:t>Hypothetical e</w:t>
            </w:r>
            <w:r w:rsidR="00173B11" w:rsidRPr="002A092B">
              <w:rPr>
                <w:b/>
              </w:rPr>
              <w:t>xamples relevant for the University</w:t>
            </w:r>
          </w:p>
        </w:tc>
      </w:tr>
      <w:tr w:rsidR="00173B11" w14:paraId="45697D48" w14:textId="77777777" w:rsidTr="00FA56D8">
        <w:tc>
          <w:tcPr>
            <w:tcW w:w="1413" w:type="dxa"/>
            <w:vAlign w:val="center"/>
          </w:tcPr>
          <w:p w14:paraId="73453A77" w14:textId="1B0A5813" w:rsidR="00173B11" w:rsidRDefault="00FD54EF" w:rsidP="00FD54EF">
            <w:r>
              <w:t>Resources</w:t>
            </w:r>
          </w:p>
        </w:tc>
        <w:tc>
          <w:tcPr>
            <w:tcW w:w="2551" w:type="dxa"/>
            <w:vAlign w:val="center"/>
          </w:tcPr>
          <w:p w14:paraId="41E0DBE5" w14:textId="77777777" w:rsidR="00173B11" w:rsidRDefault="00173B11" w:rsidP="00FD54EF">
            <w:r>
              <w:t>The resources (</w:t>
            </w:r>
            <w:proofErr w:type="gramStart"/>
            <w:r>
              <w:t>e.g.</w:t>
            </w:r>
            <w:proofErr w:type="gramEnd"/>
            <w:r>
              <w:t xml:space="preserve"> financial, technological, service) that people can access.</w:t>
            </w:r>
          </w:p>
        </w:tc>
        <w:tc>
          <w:tcPr>
            <w:tcW w:w="5052" w:type="dxa"/>
            <w:vAlign w:val="center"/>
          </w:tcPr>
          <w:p w14:paraId="6A60B2FC" w14:textId="77777777" w:rsidR="00173B11" w:rsidRDefault="00173B11" w:rsidP="00FD54EF">
            <w:r>
              <w:t>Provision of high-speed data connection, combined with AV facilities, enabling people to work remotely if their normal working location or their transport mode is impacted or under threat (</w:t>
            </w:r>
            <w:proofErr w:type="gramStart"/>
            <w:r>
              <w:t>e.g.</w:t>
            </w:r>
            <w:proofErr w:type="gramEnd"/>
            <w:r>
              <w:t xml:space="preserve"> from storm, flood, bushfire, extreme heat).</w:t>
            </w:r>
          </w:p>
          <w:p w14:paraId="79F9AAB1" w14:textId="77777777" w:rsidR="00173B11" w:rsidRDefault="00173B11" w:rsidP="00FD54EF"/>
          <w:p w14:paraId="7A16528A" w14:textId="77777777" w:rsidR="00173B11" w:rsidRDefault="00173B11" w:rsidP="00FD54EF">
            <w:r>
              <w:t>Provide readily accessible water fountains or kitchenettes to help people stay hydrated during hot weather.</w:t>
            </w:r>
          </w:p>
        </w:tc>
      </w:tr>
      <w:tr w:rsidR="00173B11" w14:paraId="355375BF" w14:textId="77777777" w:rsidTr="00FA56D8">
        <w:tc>
          <w:tcPr>
            <w:tcW w:w="1413" w:type="dxa"/>
            <w:vAlign w:val="center"/>
          </w:tcPr>
          <w:p w14:paraId="7AF80473" w14:textId="77777777" w:rsidR="00173B11" w:rsidRDefault="00173B11" w:rsidP="00FD54EF">
            <w:r>
              <w:t>Flexibility</w:t>
            </w:r>
          </w:p>
        </w:tc>
        <w:tc>
          <w:tcPr>
            <w:tcW w:w="2551" w:type="dxa"/>
            <w:vAlign w:val="center"/>
          </w:tcPr>
          <w:p w14:paraId="17CFB30E" w14:textId="73942D23" w:rsidR="00173B11" w:rsidRDefault="00173B11" w:rsidP="00FD54EF">
            <w:r>
              <w:t>The ability for people to do things differently</w:t>
            </w:r>
            <w:r w:rsidR="00FD54EF">
              <w:t>.</w:t>
            </w:r>
          </w:p>
        </w:tc>
        <w:tc>
          <w:tcPr>
            <w:tcW w:w="5052" w:type="dxa"/>
            <w:vAlign w:val="center"/>
          </w:tcPr>
          <w:p w14:paraId="1614DC8E" w14:textId="2E5F9711" w:rsidR="00173B11" w:rsidRDefault="005729D0" w:rsidP="00FD54EF">
            <w:r>
              <w:t>Work flexibility</w:t>
            </w:r>
            <w:r w:rsidR="00173B11">
              <w:t xml:space="preserve"> that enables working from home or other remote location.</w:t>
            </w:r>
          </w:p>
          <w:p w14:paraId="395DFD77" w14:textId="77777777" w:rsidR="00173B11" w:rsidRDefault="00173B11" w:rsidP="00FD54EF"/>
          <w:p w14:paraId="65D19BD0" w14:textId="77777777" w:rsidR="00173B11" w:rsidRDefault="00173B11" w:rsidP="00FD54EF">
            <w:r>
              <w:t>Using lecture-capture so that students can catch up on any lectures they miss due to extreme weather.</w:t>
            </w:r>
          </w:p>
        </w:tc>
      </w:tr>
      <w:tr w:rsidR="00173B11" w14:paraId="761EFB09" w14:textId="77777777" w:rsidTr="00FA56D8">
        <w:tc>
          <w:tcPr>
            <w:tcW w:w="1413" w:type="dxa"/>
            <w:vAlign w:val="center"/>
          </w:tcPr>
          <w:p w14:paraId="5DD8EB8A" w14:textId="77777777" w:rsidR="00173B11" w:rsidRDefault="00173B11" w:rsidP="00FD54EF">
            <w:r>
              <w:t>Social Organization</w:t>
            </w:r>
          </w:p>
        </w:tc>
        <w:tc>
          <w:tcPr>
            <w:tcW w:w="2551" w:type="dxa"/>
            <w:vAlign w:val="center"/>
          </w:tcPr>
          <w:p w14:paraId="1B4AC3D8" w14:textId="5C12F67B" w:rsidR="00173B11" w:rsidRDefault="00173B11" w:rsidP="00FA56D8">
            <w:r>
              <w:t xml:space="preserve">The ways in which society is organized to </w:t>
            </w:r>
            <w:proofErr w:type="gramStart"/>
            <w:r>
              <w:t xml:space="preserve">enable </w:t>
            </w:r>
            <w:r w:rsidR="00FA56D8">
              <w:t xml:space="preserve"> </w:t>
            </w:r>
            <w:r>
              <w:t>cooperation</w:t>
            </w:r>
            <w:proofErr w:type="gramEnd"/>
            <w:r w:rsidR="005C53F1">
              <w:t xml:space="preserve"> </w:t>
            </w:r>
            <w:r>
              <w:t>and knowledge sharing</w:t>
            </w:r>
            <w:r w:rsidR="00FD54EF">
              <w:t>.</w:t>
            </w:r>
          </w:p>
        </w:tc>
        <w:tc>
          <w:tcPr>
            <w:tcW w:w="5052" w:type="dxa"/>
            <w:vAlign w:val="center"/>
          </w:tcPr>
          <w:p w14:paraId="1E4806FE" w14:textId="391764E7" w:rsidR="00173B11" w:rsidRDefault="00173B11" w:rsidP="00FD54EF">
            <w:r>
              <w:t xml:space="preserve">Co-ordinated plans </w:t>
            </w:r>
            <w:r w:rsidR="005729D0">
              <w:t>(</w:t>
            </w:r>
            <w:proofErr w:type="gramStart"/>
            <w:r w:rsidR="005729D0">
              <w:t>e.g.</w:t>
            </w:r>
            <w:proofErr w:type="gramEnd"/>
            <w:r w:rsidR="005729D0">
              <w:t xml:space="preserve"> evacuation, emergency management, business continuity) </w:t>
            </w:r>
            <w:r>
              <w:t>between building occupants and Campus Services</w:t>
            </w:r>
          </w:p>
          <w:p w14:paraId="4C4109BA" w14:textId="77777777" w:rsidR="00173B11" w:rsidRDefault="00173B11" w:rsidP="00FD54EF"/>
        </w:tc>
      </w:tr>
      <w:tr w:rsidR="00173B11" w14:paraId="259ECFB5" w14:textId="77777777" w:rsidTr="00FA56D8">
        <w:tc>
          <w:tcPr>
            <w:tcW w:w="1413" w:type="dxa"/>
            <w:vAlign w:val="center"/>
          </w:tcPr>
          <w:p w14:paraId="1D9179A3" w14:textId="77777777" w:rsidR="00173B11" w:rsidRDefault="00173B11" w:rsidP="00FD54EF">
            <w:r>
              <w:t>Learning / Knowledge</w:t>
            </w:r>
          </w:p>
        </w:tc>
        <w:tc>
          <w:tcPr>
            <w:tcW w:w="2551" w:type="dxa"/>
            <w:vAlign w:val="center"/>
          </w:tcPr>
          <w:p w14:paraId="70F4354F" w14:textId="70179D01" w:rsidR="00173B11" w:rsidRDefault="00173B11" w:rsidP="00FD54EF">
            <w:r>
              <w:t>Capacity to generate</w:t>
            </w:r>
            <w:r w:rsidR="005729D0">
              <w:t xml:space="preserve"> and understand</w:t>
            </w:r>
            <w:r>
              <w:t xml:space="preserve"> new information about </w:t>
            </w:r>
            <w:r w:rsidR="005729D0">
              <w:t>impacts and adaptation options.</w:t>
            </w:r>
          </w:p>
        </w:tc>
        <w:tc>
          <w:tcPr>
            <w:tcW w:w="5052" w:type="dxa"/>
            <w:vAlign w:val="center"/>
          </w:tcPr>
          <w:p w14:paraId="1866D182" w14:textId="72BC5090" w:rsidR="00173B11" w:rsidRDefault="00173B11" w:rsidP="00FD54EF">
            <w:r>
              <w:t>Notifications</w:t>
            </w:r>
            <w:r>
              <w:rPr>
                <w:rStyle w:val="FootnoteReference"/>
              </w:rPr>
              <w:footnoteReference w:id="7"/>
            </w:r>
            <w:r>
              <w:t xml:space="preserve"> and warning systems</w:t>
            </w:r>
            <w:r>
              <w:rPr>
                <w:rStyle w:val="FootnoteReference"/>
              </w:rPr>
              <w:footnoteReference w:id="8"/>
            </w:r>
            <w:r>
              <w:t xml:space="preserve"> that alert people of a risk to their location such as a heatwave or thunderstorm asthma forecast.</w:t>
            </w:r>
          </w:p>
          <w:p w14:paraId="40FDA8A9" w14:textId="77777777" w:rsidR="00FD54EF" w:rsidRDefault="00FD54EF" w:rsidP="00FD54EF"/>
          <w:p w14:paraId="63AE0265" w14:textId="49298D4E" w:rsidR="00FD54EF" w:rsidRDefault="006A0C86" w:rsidP="00FD54EF">
            <w:r>
              <w:t>Capturing</w:t>
            </w:r>
            <w:r w:rsidR="00FD54EF">
              <w:t xml:space="preserve"> best practice adaptation in the University’s building design standards</w:t>
            </w:r>
            <w:r>
              <w:t xml:space="preserve"> and associated documents</w:t>
            </w:r>
            <w:r w:rsidR="00FD54EF">
              <w:t>.</w:t>
            </w:r>
          </w:p>
        </w:tc>
      </w:tr>
      <w:tr w:rsidR="00173B11" w14:paraId="0C858F6E" w14:textId="77777777" w:rsidTr="00FA56D8">
        <w:tc>
          <w:tcPr>
            <w:tcW w:w="1413" w:type="dxa"/>
            <w:vAlign w:val="center"/>
          </w:tcPr>
          <w:p w14:paraId="589325A0" w14:textId="77777777" w:rsidR="00173B11" w:rsidRDefault="00173B11" w:rsidP="00FD54EF">
            <w:r>
              <w:t>Agency</w:t>
            </w:r>
          </w:p>
        </w:tc>
        <w:tc>
          <w:tcPr>
            <w:tcW w:w="2551" w:type="dxa"/>
            <w:vAlign w:val="center"/>
          </w:tcPr>
          <w:p w14:paraId="201740EC" w14:textId="3D6BA424" w:rsidR="00173B11" w:rsidRDefault="00173B11" w:rsidP="00FD54EF">
            <w:r>
              <w:t>The ability of people (individuals and groups) to have free choice in responding to change.</w:t>
            </w:r>
          </w:p>
        </w:tc>
        <w:tc>
          <w:tcPr>
            <w:tcW w:w="5052" w:type="dxa"/>
            <w:vAlign w:val="center"/>
          </w:tcPr>
          <w:p w14:paraId="15F0A494" w14:textId="2C5B2607" w:rsidR="00626069" w:rsidRDefault="005729D0" w:rsidP="00FD54EF">
            <w:r>
              <w:t>Work/study flexibility</w:t>
            </w:r>
            <w:r w:rsidR="00173B11">
              <w:t xml:space="preserve"> that enables working</w:t>
            </w:r>
            <w:r>
              <w:t>/studying</w:t>
            </w:r>
            <w:r w:rsidR="00173B11">
              <w:t xml:space="preserve"> from home or other remote location </w:t>
            </w:r>
            <w:r w:rsidR="006A0C86">
              <w:t>AND</w:t>
            </w:r>
            <w:r w:rsidR="00173B11">
              <w:t xml:space="preserve"> being able to do so in response to a climate extreme.</w:t>
            </w:r>
          </w:p>
          <w:p w14:paraId="5DFEA179" w14:textId="3FCE936A" w:rsidR="00173B11" w:rsidRDefault="00173B11" w:rsidP="00FD54EF"/>
        </w:tc>
      </w:tr>
    </w:tbl>
    <w:p w14:paraId="7ADC14B9" w14:textId="77777777" w:rsidR="00173B11" w:rsidRDefault="00173B11" w:rsidP="00173B11"/>
    <w:p w14:paraId="16B054A2" w14:textId="625BF65C" w:rsidR="00F80886" w:rsidRPr="003A2A3A" w:rsidRDefault="00F80886" w:rsidP="00F80886"/>
    <w:p w14:paraId="4F44C139" w14:textId="77777777" w:rsidR="005729D0" w:rsidRDefault="005729D0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14:paraId="259989CC" w14:textId="217637BB" w:rsidR="000B6A94" w:rsidRDefault="00DE0467" w:rsidP="000E7E7D">
      <w:pPr>
        <w:pStyle w:val="Heading2"/>
      </w:pPr>
      <w:r>
        <w:lastRenderedPageBreak/>
        <w:t>University’s risk management systems</w:t>
      </w:r>
    </w:p>
    <w:p w14:paraId="2AD8676F" w14:textId="32134679" w:rsidR="00FC54A5" w:rsidRDefault="000C4F8E" w:rsidP="00FC54A5">
      <w:r>
        <w:t xml:space="preserve">The University’s </w:t>
      </w:r>
      <w:r w:rsidR="00F07429">
        <w:t>risk matrix for capital projects is shown below. University project managers can access the original via the Enterprise Project Management System.</w:t>
      </w:r>
    </w:p>
    <w:p w14:paraId="530B9445" w14:textId="438B7A18" w:rsidR="00FC54A5" w:rsidRDefault="00776256" w:rsidP="00FC54A5">
      <w:r w:rsidRPr="00776256">
        <w:rPr>
          <w:noProof/>
        </w:rPr>
        <w:drawing>
          <wp:inline distT="0" distB="0" distL="0" distR="0" wp14:anchorId="58D7BD97" wp14:editId="72A42FAB">
            <wp:extent cx="5731510" cy="3721735"/>
            <wp:effectExtent l="0" t="0" r="2540" b="0"/>
            <wp:docPr id="4281524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152464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2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BF3C8" w14:textId="2323EBA0" w:rsidR="00776256" w:rsidRDefault="00EB6FAA" w:rsidP="00FC54A5">
      <w:r w:rsidRPr="00EB6FAA">
        <w:rPr>
          <w:noProof/>
        </w:rPr>
        <w:drawing>
          <wp:inline distT="0" distB="0" distL="0" distR="0" wp14:anchorId="34131B96" wp14:editId="1E155840">
            <wp:extent cx="5731510" cy="4305935"/>
            <wp:effectExtent l="0" t="0" r="2540" b="0"/>
            <wp:docPr id="788277085" name="Picture 1" descr="A screenshot of a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77085" name="Picture 1" descr="A screenshot of a char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95554" w14:textId="735BD540" w:rsidR="00B9797E" w:rsidRDefault="00B9797E" w:rsidP="001367AD">
      <w:pPr>
        <w:jc w:val="center"/>
      </w:pPr>
      <w:r w:rsidRPr="00C02E3B">
        <w:rPr>
          <w:noProof/>
        </w:rPr>
        <w:lastRenderedPageBreak/>
        <w:drawing>
          <wp:inline distT="0" distB="0" distL="0" distR="0" wp14:anchorId="2510EC51" wp14:editId="1546A0D7">
            <wp:extent cx="4213555" cy="1965797"/>
            <wp:effectExtent l="0" t="0" r="0" b="0"/>
            <wp:docPr id="214549784" name="Picture 1" descr="A close-up of a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49784" name="Picture 1" descr="A close-up of a char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19101" cy="196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1833F" w14:textId="5E84B73B" w:rsidR="00592662" w:rsidRDefault="003E5ABB" w:rsidP="000E7E7D">
      <w:pPr>
        <w:pStyle w:val="Heading2"/>
      </w:pPr>
      <w:r>
        <w:t>D</w:t>
      </w:r>
      <w:r w:rsidR="001D03AE">
        <w:t>etailed risk assessment</w:t>
      </w:r>
    </w:p>
    <w:p w14:paraId="22BAE81F" w14:textId="1178931C" w:rsidR="00C56B5D" w:rsidRDefault="005721A7">
      <w:pPr>
        <w:rPr>
          <w:i/>
          <w:iCs/>
          <w:color w:val="44546A" w:themeColor="text2"/>
          <w:sz w:val="18"/>
          <w:szCs w:val="18"/>
        </w:rPr>
      </w:pPr>
      <w:r>
        <w:t xml:space="preserve">The qualitative risk assessment may </w:t>
      </w:r>
      <w:r w:rsidR="00C56B5D">
        <w:t xml:space="preserve">reveal </w:t>
      </w:r>
      <w:r>
        <w:t xml:space="preserve">risks that </w:t>
      </w:r>
      <w:r w:rsidR="00C56B5D">
        <w:t xml:space="preserve">require more detailed assessment because, for example, their acceptability is unclear, they are complex, or the adaptation options require testing. Project teams must appropriately investigate and respond to these risks. </w:t>
      </w:r>
      <w:r w:rsidR="00671ED0">
        <w:fldChar w:fldCharType="begin"/>
      </w:r>
      <w:r w:rsidR="00671ED0">
        <w:instrText xml:space="preserve"> REF _Ref525713623 \h </w:instrText>
      </w:r>
      <w:r w:rsidR="00671ED0">
        <w:fldChar w:fldCharType="separate"/>
      </w:r>
      <w:r w:rsidR="00B457F4">
        <w:t xml:space="preserve">Table </w:t>
      </w:r>
      <w:r w:rsidR="00B457F4">
        <w:rPr>
          <w:noProof/>
        </w:rPr>
        <w:t>3</w:t>
      </w:r>
      <w:r w:rsidR="00671ED0">
        <w:fldChar w:fldCharType="end"/>
      </w:r>
      <w:r w:rsidR="00671ED0">
        <w:t xml:space="preserve"> provides some examples</w:t>
      </w:r>
      <w:r w:rsidR="00C56B5D">
        <w:t xml:space="preserve"> of when this might occur</w:t>
      </w:r>
      <w:r w:rsidR="00671ED0">
        <w:t>.</w:t>
      </w:r>
      <w:bookmarkStart w:id="3" w:name="_Ref525713623"/>
    </w:p>
    <w:p w14:paraId="0C258931" w14:textId="7E80E21C" w:rsidR="00671ED0" w:rsidRDefault="00671ED0" w:rsidP="00671ED0">
      <w:pPr>
        <w:pStyle w:val="Caption"/>
      </w:pPr>
      <w:r>
        <w:t xml:space="preserve">Table </w:t>
      </w:r>
      <w:r w:rsidR="003E0A51">
        <w:fldChar w:fldCharType="begin"/>
      </w:r>
      <w:r w:rsidR="003E0A51">
        <w:instrText xml:space="preserve"> SEQ Table \* ARABIC </w:instrText>
      </w:r>
      <w:r w:rsidR="003E0A51">
        <w:fldChar w:fldCharType="separate"/>
      </w:r>
      <w:r w:rsidR="00454E94">
        <w:rPr>
          <w:noProof/>
        </w:rPr>
        <w:t>3</w:t>
      </w:r>
      <w:r w:rsidR="003E0A51">
        <w:rPr>
          <w:noProof/>
        </w:rPr>
        <w:fldChar w:fldCharType="end"/>
      </w:r>
      <w:bookmarkEnd w:id="3"/>
      <w:r>
        <w:t xml:space="preserve"> – Examples of detailed risk assessment and stress-testing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E0A5D" w:rsidRPr="00DE0A5D" w14:paraId="1A9DF984" w14:textId="77777777" w:rsidTr="00DE0A5D">
        <w:tc>
          <w:tcPr>
            <w:tcW w:w="2263" w:type="dxa"/>
          </w:tcPr>
          <w:p w14:paraId="6CDAE10E" w14:textId="754E5A02" w:rsidR="00DE0A5D" w:rsidRPr="00DE0A5D" w:rsidRDefault="00DE0A5D" w:rsidP="001273B6">
            <w:pPr>
              <w:rPr>
                <w:b/>
              </w:rPr>
            </w:pPr>
            <w:r w:rsidRPr="00DE0A5D">
              <w:rPr>
                <w:b/>
              </w:rPr>
              <w:t>Example</w:t>
            </w:r>
          </w:p>
        </w:tc>
        <w:tc>
          <w:tcPr>
            <w:tcW w:w="6753" w:type="dxa"/>
          </w:tcPr>
          <w:p w14:paraId="23F8CB5A" w14:textId="2E33FC56" w:rsidR="00DE0A5D" w:rsidRPr="00DE0A5D" w:rsidRDefault="00DE0A5D" w:rsidP="001273B6">
            <w:pPr>
              <w:rPr>
                <w:b/>
              </w:rPr>
            </w:pPr>
            <w:r w:rsidRPr="00DE0A5D">
              <w:rPr>
                <w:b/>
              </w:rPr>
              <w:t>Description</w:t>
            </w:r>
          </w:p>
        </w:tc>
      </w:tr>
      <w:tr w:rsidR="00DE0A5D" w14:paraId="36848371" w14:textId="77777777" w:rsidTr="00DE0A5D">
        <w:tc>
          <w:tcPr>
            <w:tcW w:w="2263" w:type="dxa"/>
          </w:tcPr>
          <w:p w14:paraId="3979EACF" w14:textId="2B53258F" w:rsidR="00DE0A5D" w:rsidRDefault="00DE0A5D" w:rsidP="001273B6">
            <w:r>
              <w:t>Air-conditioning and natural ventilation design</w:t>
            </w:r>
          </w:p>
        </w:tc>
        <w:tc>
          <w:tcPr>
            <w:tcW w:w="6753" w:type="dxa"/>
          </w:tcPr>
          <w:p w14:paraId="262C711A" w14:textId="2A719910" w:rsidR="00DE0A5D" w:rsidRDefault="00DE0A5D" w:rsidP="00DE0A5D">
            <w:r>
              <w:t xml:space="preserve">If </w:t>
            </w:r>
            <w:r w:rsidR="00C56B5D">
              <w:t>a space (</w:t>
            </w:r>
            <w:proofErr w:type="gramStart"/>
            <w:r w:rsidR="00C56B5D">
              <w:t>e.g.</w:t>
            </w:r>
            <w:proofErr w:type="gramEnd"/>
            <w:r w:rsidR="00C56B5D">
              <w:t xml:space="preserve"> office or dwelling) is designed to be </w:t>
            </w:r>
            <w:r>
              <w:t>natural</w:t>
            </w:r>
            <w:r w:rsidR="00C56B5D">
              <w:t>ly</w:t>
            </w:r>
            <w:r>
              <w:t xml:space="preserve"> </w:t>
            </w:r>
            <w:r w:rsidR="00C56B5D">
              <w:t>ventilated</w:t>
            </w:r>
            <w:r>
              <w:t xml:space="preserve">, then the project team </w:t>
            </w:r>
            <w:r w:rsidR="00C56B5D">
              <w:t xml:space="preserve">may need to </w:t>
            </w:r>
            <w:r>
              <w:t xml:space="preserve">“stress-test” the </w:t>
            </w:r>
            <w:r w:rsidR="00C56B5D">
              <w:t xml:space="preserve">space </w:t>
            </w:r>
            <w:r>
              <w:t>to answer questions such as:</w:t>
            </w:r>
          </w:p>
          <w:p w14:paraId="006463A6" w14:textId="3F953723" w:rsidR="00C56B5D" w:rsidRDefault="00C56B5D" w:rsidP="00DE0A5D">
            <w:pPr>
              <w:pStyle w:val="ListParagraph"/>
              <w:numPr>
                <w:ilvl w:val="0"/>
                <w:numId w:val="18"/>
              </w:numPr>
            </w:pPr>
            <w:r>
              <w:t xml:space="preserve">For how many hours per year are </w:t>
            </w:r>
            <w:r w:rsidR="00DE0A5D">
              <w:t xml:space="preserve">internal temperatures </w:t>
            </w:r>
            <w:r>
              <w:t xml:space="preserve">likely to </w:t>
            </w:r>
            <w:r w:rsidR="00DE0A5D">
              <w:t>cause discomfort</w:t>
            </w:r>
            <w:r>
              <w:t>?</w:t>
            </w:r>
          </w:p>
          <w:p w14:paraId="25FA169F" w14:textId="5A711ECB" w:rsidR="00DE0A5D" w:rsidRDefault="00C56B5D" w:rsidP="00DE0A5D">
            <w:pPr>
              <w:pStyle w:val="ListParagraph"/>
              <w:numPr>
                <w:ilvl w:val="0"/>
                <w:numId w:val="18"/>
              </w:numPr>
            </w:pPr>
            <w:r>
              <w:t xml:space="preserve">Will the internal temperatures </w:t>
            </w:r>
            <w:r w:rsidR="00DE0A5D">
              <w:t>become a health risk</w:t>
            </w:r>
            <w:r>
              <w:t xml:space="preserve">, </w:t>
            </w:r>
            <w:proofErr w:type="gramStart"/>
            <w:r>
              <w:t>e.g.</w:t>
            </w:r>
            <w:proofErr w:type="gramEnd"/>
            <w:r>
              <w:t xml:space="preserve"> during a heat wave</w:t>
            </w:r>
            <w:r w:rsidR="00DC2471">
              <w:t xml:space="preserve"> or extreme day</w:t>
            </w:r>
            <w:r w:rsidR="00DE0A5D">
              <w:t>?</w:t>
            </w:r>
          </w:p>
          <w:p w14:paraId="1531E756" w14:textId="512F39D0" w:rsidR="00C56B5D" w:rsidRDefault="00C56B5D" w:rsidP="000B7853">
            <w:r>
              <w:t xml:space="preserve">Note that the annual </w:t>
            </w:r>
            <w:r w:rsidR="00DC2471">
              <w:t xml:space="preserve">weather data </w:t>
            </w:r>
            <w:r>
              <w:t>for Melbourne typically used for energy and thermal comfort modelling has a peak temperature of 39</w:t>
            </w:r>
            <w:r>
              <w:sym w:font="Symbol" w:char="F0B0"/>
            </w:r>
            <w:r>
              <w:t>C.</w:t>
            </w:r>
            <w:r w:rsidR="00DC2471">
              <w:t xml:space="preserve"> It is therefore inadequate for stress-testing a design under current and future temperatures</w:t>
            </w:r>
            <w:r>
              <w:rPr>
                <w:rStyle w:val="FootnoteReference"/>
              </w:rPr>
              <w:footnoteReference w:id="9"/>
            </w:r>
            <w:r w:rsidR="00DC2471">
              <w:t>.</w:t>
            </w:r>
          </w:p>
        </w:tc>
      </w:tr>
      <w:tr w:rsidR="00DE0A5D" w14:paraId="429EB8DC" w14:textId="77777777" w:rsidTr="00DE0A5D">
        <w:tc>
          <w:tcPr>
            <w:tcW w:w="2263" w:type="dxa"/>
          </w:tcPr>
          <w:p w14:paraId="14B35E8B" w14:textId="2B511FFF" w:rsidR="00DE0A5D" w:rsidRDefault="00DE0A5D" w:rsidP="001273B6">
            <w:r>
              <w:t>Flooding</w:t>
            </w:r>
          </w:p>
        </w:tc>
        <w:tc>
          <w:tcPr>
            <w:tcW w:w="6753" w:type="dxa"/>
          </w:tcPr>
          <w:p w14:paraId="403EC1D4" w14:textId="0ECD88CC" w:rsidR="00DE0A5D" w:rsidRDefault="00DE0A5D" w:rsidP="001273B6">
            <w:r>
              <w:t xml:space="preserve">Available flood maps from government, water authorities, research, and insurers may be inconsistent </w:t>
            </w:r>
            <w:r w:rsidR="00671ED0">
              <w:t>(</w:t>
            </w:r>
            <w:proofErr w:type="gramStart"/>
            <w:r w:rsidR="00671ED0">
              <w:t>e.g.</w:t>
            </w:r>
            <w:proofErr w:type="gramEnd"/>
            <w:r w:rsidR="00671ED0">
              <w:t xml:space="preserve"> use different assumptions, suggest different levels of risk for the same location)</w:t>
            </w:r>
            <w:r w:rsidR="00F758E4">
              <w:t xml:space="preserve"> or limited to the public domain</w:t>
            </w:r>
            <w:r w:rsidR="00671ED0">
              <w:t>. Detailed review or modelling may be required to understand the actual risk at the project location and the impact of proposed mitigation strategies</w:t>
            </w:r>
            <w:r w:rsidR="00DC2471">
              <w:t xml:space="preserve"> on neighbours</w:t>
            </w:r>
            <w:r w:rsidR="00671ED0">
              <w:t>.</w:t>
            </w:r>
          </w:p>
        </w:tc>
      </w:tr>
    </w:tbl>
    <w:p w14:paraId="5D8F43D0" w14:textId="77777777" w:rsidR="00A309B4" w:rsidRDefault="00A309B4" w:rsidP="00B457F4"/>
    <w:sectPr w:rsidR="00A309B4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AE9F8" w14:textId="77777777" w:rsidR="002E3AF9" w:rsidRDefault="002E3AF9" w:rsidP="00F56D30">
      <w:pPr>
        <w:spacing w:after="0" w:line="240" w:lineRule="auto"/>
      </w:pPr>
      <w:r>
        <w:separator/>
      </w:r>
    </w:p>
  </w:endnote>
  <w:endnote w:type="continuationSeparator" w:id="0">
    <w:p w14:paraId="68B7EEF3" w14:textId="77777777" w:rsidR="002E3AF9" w:rsidRDefault="002E3AF9" w:rsidP="00F56D30">
      <w:pPr>
        <w:spacing w:after="0" w:line="240" w:lineRule="auto"/>
      </w:pPr>
      <w:r>
        <w:continuationSeparator/>
      </w:r>
    </w:p>
  </w:endnote>
  <w:endnote w:type="continuationNotice" w:id="1">
    <w:p w14:paraId="61CCFB75" w14:textId="77777777" w:rsidR="002E3AF9" w:rsidRDefault="002E3A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3349" w14:textId="5F6B1EE4" w:rsidR="00FA56D8" w:rsidRDefault="00FA56D8">
    <w:pPr>
      <w:pStyle w:val="Footer"/>
    </w:pPr>
    <w:r>
      <w:t>Prepared by: Manager, Sustainab</w:t>
    </w:r>
    <w:r w:rsidR="004E630C">
      <w:t>ility Strategy</w:t>
    </w:r>
  </w:p>
  <w:p w14:paraId="211C21A3" w14:textId="5FCDC652" w:rsidR="00FA56D8" w:rsidRDefault="00FA56D8">
    <w:pPr>
      <w:pStyle w:val="Footer"/>
    </w:pPr>
    <w:r>
      <w:t xml:space="preserve">Date: </w:t>
    </w:r>
    <w:r w:rsidR="004E630C">
      <w:t>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21860" w14:textId="77777777" w:rsidR="002E3AF9" w:rsidRDefault="002E3AF9" w:rsidP="00F56D30">
      <w:pPr>
        <w:spacing w:after="0" w:line="240" w:lineRule="auto"/>
      </w:pPr>
      <w:r>
        <w:separator/>
      </w:r>
    </w:p>
  </w:footnote>
  <w:footnote w:type="continuationSeparator" w:id="0">
    <w:p w14:paraId="2D1D2152" w14:textId="77777777" w:rsidR="002E3AF9" w:rsidRDefault="002E3AF9" w:rsidP="00F56D30">
      <w:pPr>
        <w:spacing w:after="0" w:line="240" w:lineRule="auto"/>
      </w:pPr>
      <w:r>
        <w:continuationSeparator/>
      </w:r>
    </w:p>
  </w:footnote>
  <w:footnote w:type="continuationNotice" w:id="1">
    <w:p w14:paraId="39FF7A4F" w14:textId="77777777" w:rsidR="002E3AF9" w:rsidRDefault="002E3AF9">
      <w:pPr>
        <w:spacing w:after="0" w:line="240" w:lineRule="auto"/>
      </w:pPr>
    </w:p>
  </w:footnote>
  <w:footnote w:id="2">
    <w:p w14:paraId="6A63D551" w14:textId="7473C0C0" w:rsidR="00333E12" w:rsidRDefault="00333E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FD23C0">
          <w:rPr>
            <w:rStyle w:val="Hyperlink"/>
            <w:rFonts w:eastAsia="Times New Roman"/>
          </w:rPr>
          <w:t>http://policy.unimelb.edu.au/MPF1194</w:t>
        </w:r>
      </w:hyperlink>
    </w:p>
  </w:footnote>
  <w:footnote w:id="3">
    <w:p w14:paraId="75DDE7FB" w14:textId="44D4E80C" w:rsidR="00BD33E1" w:rsidRDefault="00BD33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5923CB" w:rsidRPr="00F4676B">
          <w:rPr>
            <w:rStyle w:val="Hyperlink"/>
          </w:rPr>
          <w:t>https://unimelb.service-now.com/sys_attachment.do?sys_id=a08e7cca1b0efd90d23e64e8b04bcb0d</w:t>
        </w:r>
      </w:hyperlink>
      <w:r w:rsidR="005923CB">
        <w:t xml:space="preserve"> </w:t>
      </w:r>
    </w:p>
  </w:footnote>
  <w:footnote w:id="4">
    <w:p w14:paraId="15B9DF8B" w14:textId="0A589F17" w:rsidR="008635CF" w:rsidRDefault="008635CF">
      <w:pPr>
        <w:pStyle w:val="FootnoteText"/>
      </w:pPr>
      <w:r>
        <w:rPr>
          <w:rStyle w:val="FootnoteReference"/>
        </w:rPr>
        <w:footnoteRef/>
      </w:r>
      <w:r>
        <w:t xml:space="preserve"> For example, projects on the east side of the Parkville campus may be able to reduce flood risk to the Melbourne CBD (Elizabeth Street Catchment).</w:t>
      </w:r>
      <w:r w:rsidR="00023C5B">
        <w:t xml:space="preserve"> Student accommodation at regional campuses is sometimes used as emergency accommodation for people in the area displaced by fire or flood.</w:t>
      </w:r>
    </w:p>
  </w:footnote>
  <w:footnote w:id="5">
    <w:p w14:paraId="27911597" w14:textId="77777777" w:rsidR="005729D0" w:rsidRDefault="005729D0" w:rsidP="005729D0">
      <w:pPr>
        <w:pStyle w:val="FootnoteText"/>
      </w:pPr>
      <w:r>
        <w:rPr>
          <w:rStyle w:val="FootnoteReference"/>
        </w:rPr>
        <w:footnoteRef/>
      </w:r>
      <w:r>
        <w:t xml:space="preserve"> The University’s Parkville campus helping to mitigate flooding of the Elizabeth Street Catchment is a good example of improving the resilience of communities.</w:t>
      </w:r>
    </w:p>
  </w:footnote>
  <w:footnote w:id="6">
    <w:p w14:paraId="61AFEF8F" w14:textId="0F92464B" w:rsidR="000F1235" w:rsidRDefault="000F123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D54EF">
        <w:t>Adapted</w:t>
      </w:r>
      <w:r>
        <w:t xml:space="preserve"> from: </w:t>
      </w:r>
      <w:r w:rsidRPr="000F1235">
        <w:t>Cinner et al (2018) Building adaptive capacity to climate change in tropical coastal communities, Nature Climate Change, Vol 8</w:t>
      </w:r>
    </w:p>
  </w:footnote>
  <w:footnote w:id="7">
    <w:p w14:paraId="18D002DA" w14:textId="23AF3AF5" w:rsidR="00173B11" w:rsidRDefault="00173B11" w:rsidP="00173B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31BA6">
        <w:t>www2.health.vic.gov.au/public-health/environmental-health/climate-weat</w:t>
      </w:r>
      <w:r w:rsidR="00DD4C9D">
        <w:t>her-and-public-health/heatwaves-</w:t>
      </w:r>
      <w:r w:rsidRPr="00D31BA6">
        <w:t>and-extreme-heat/heat-health-alerts</w:t>
      </w:r>
    </w:p>
  </w:footnote>
  <w:footnote w:id="8">
    <w:p w14:paraId="4401F1E5" w14:textId="3F2EC520" w:rsidR="00173B11" w:rsidRDefault="00173B11" w:rsidP="00173B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EE05FE">
          <w:rPr>
            <w:rStyle w:val="Hyperlink"/>
          </w:rPr>
          <w:t>www.emv.vic.gov.au/news/new-thunderstorm-asthma-forecasting-system</w:t>
        </w:r>
      </w:hyperlink>
      <w:r w:rsidR="00DD4C9D">
        <w:t xml:space="preserve"> and </w:t>
      </w:r>
      <w:hyperlink r:id="rId4" w:history="1">
        <w:r w:rsidRPr="00EE05FE">
          <w:rPr>
            <w:rStyle w:val="Hyperlink"/>
          </w:rPr>
          <w:t>www.emv.vic.gov.au/news/vicemergency-app-warning-community-of-risks-in-real-time</w:t>
        </w:r>
      </w:hyperlink>
      <w:r>
        <w:t xml:space="preserve"> </w:t>
      </w:r>
    </w:p>
  </w:footnote>
  <w:footnote w:id="9">
    <w:p w14:paraId="6B96ED94" w14:textId="1EAF9F16" w:rsidR="00C56B5D" w:rsidRDefault="00C56B5D" w:rsidP="00C56B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C2471">
        <w:t xml:space="preserve">Future temperatures can be approximated by </w:t>
      </w:r>
      <w:r>
        <w:t xml:space="preserve">using a future climate file for the project location (e.g. </w:t>
      </w:r>
      <w:hyperlink r:id="rId5" w:history="1">
        <w:r w:rsidR="00C94EEF" w:rsidRPr="002A20C0">
          <w:rPr>
            <w:rStyle w:val="Hyperlink"/>
          </w:rPr>
          <w:t>https://ahd.csiro.au/other-data/predictive-weather-files-for-building-energy-modelling/</w:t>
        </w:r>
      </w:hyperlink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75AA" w14:textId="7A7C88BC" w:rsidR="00DD4C9D" w:rsidRDefault="00DD4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0151A" w14:textId="16969A59" w:rsidR="00DD4C9D" w:rsidRDefault="00DD4C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1190" w14:textId="0E5C0019" w:rsidR="00DD4C9D" w:rsidRDefault="00DD4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13E"/>
    <w:multiLevelType w:val="hybridMultilevel"/>
    <w:tmpl w:val="05F4A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61DA"/>
    <w:multiLevelType w:val="hybridMultilevel"/>
    <w:tmpl w:val="4D0E9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D57A4"/>
    <w:multiLevelType w:val="hybridMultilevel"/>
    <w:tmpl w:val="4F921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F4068"/>
    <w:multiLevelType w:val="hybridMultilevel"/>
    <w:tmpl w:val="2A66F7F4"/>
    <w:lvl w:ilvl="0" w:tplc="4B9CF5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B01D9"/>
    <w:multiLevelType w:val="hybridMultilevel"/>
    <w:tmpl w:val="09B6D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45417"/>
    <w:multiLevelType w:val="hybridMultilevel"/>
    <w:tmpl w:val="771A8AD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73C1DF5"/>
    <w:multiLevelType w:val="hybridMultilevel"/>
    <w:tmpl w:val="E80A7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46BF3"/>
    <w:multiLevelType w:val="hybridMultilevel"/>
    <w:tmpl w:val="39D65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A1C21"/>
    <w:multiLevelType w:val="hybridMultilevel"/>
    <w:tmpl w:val="AAC0F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B0CBE"/>
    <w:multiLevelType w:val="hybridMultilevel"/>
    <w:tmpl w:val="1A8A8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A727A"/>
    <w:multiLevelType w:val="hybridMultilevel"/>
    <w:tmpl w:val="F57E7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2087C"/>
    <w:multiLevelType w:val="hybridMultilevel"/>
    <w:tmpl w:val="A308066E"/>
    <w:lvl w:ilvl="0" w:tplc="24564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057BB"/>
    <w:multiLevelType w:val="hybridMultilevel"/>
    <w:tmpl w:val="EB3E6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A3AED"/>
    <w:multiLevelType w:val="hybridMultilevel"/>
    <w:tmpl w:val="8864C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40712"/>
    <w:multiLevelType w:val="hybridMultilevel"/>
    <w:tmpl w:val="D1845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D32D3"/>
    <w:multiLevelType w:val="hybridMultilevel"/>
    <w:tmpl w:val="F67C8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766AC"/>
    <w:multiLevelType w:val="hybridMultilevel"/>
    <w:tmpl w:val="574A4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B19F8"/>
    <w:multiLevelType w:val="hybridMultilevel"/>
    <w:tmpl w:val="E2D48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C48A7"/>
    <w:multiLevelType w:val="hybridMultilevel"/>
    <w:tmpl w:val="03B23E7C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024193">
    <w:abstractNumId w:val="1"/>
  </w:num>
  <w:num w:numId="2" w16cid:durableId="911695352">
    <w:abstractNumId w:val="2"/>
  </w:num>
  <w:num w:numId="3" w16cid:durableId="2069717575">
    <w:abstractNumId w:val="7"/>
  </w:num>
  <w:num w:numId="4" w16cid:durableId="1280800974">
    <w:abstractNumId w:val="15"/>
  </w:num>
  <w:num w:numId="5" w16cid:durableId="1317807891">
    <w:abstractNumId w:val="13"/>
  </w:num>
  <w:num w:numId="6" w16cid:durableId="27067544">
    <w:abstractNumId w:val="16"/>
  </w:num>
  <w:num w:numId="7" w16cid:durableId="1172068919">
    <w:abstractNumId w:val="18"/>
  </w:num>
  <w:num w:numId="8" w16cid:durableId="1581252752">
    <w:abstractNumId w:val="3"/>
  </w:num>
  <w:num w:numId="9" w16cid:durableId="1141655572">
    <w:abstractNumId w:val="12"/>
  </w:num>
  <w:num w:numId="10" w16cid:durableId="1847213248">
    <w:abstractNumId w:val="9"/>
  </w:num>
  <w:num w:numId="11" w16cid:durableId="2003661819">
    <w:abstractNumId w:val="11"/>
  </w:num>
  <w:num w:numId="12" w16cid:durableId="73279901">
    <w:abstractNumId w:val="14"/>
  </w:num>
  <w:num w:numId="13" w16cid:durableId="19816618">
    <w:abstractNumId w:val="10"/>
  </w:num>
  <w:num w:numId="14" w16cid:durableId="1473252027">
    <w:abstractNumId w:val="17"/>
  </w:num>
  <w:num w:numId="15" w16cid:durableId="418797195">
    <w:abstractNumId w:val="6"/>
  </w:num>
  <w:num w:numId="16" w16cid:durableId="217858663">
    <w:abstractNumId w:val="8"/>
  </w:num>
  <w:num w:numId="17" w16cid:durableId="151721797">
    <w:abstractNumId w:val="0"/>
  </w:num>
  <w:num w:numId="18" w16cid:durableId="737478530">
    <w:abstractNumId w:val="4"/>
  </w:num>
  <w:num w:numId="19" w16cid:durableId="8920399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1D"/>
    <w:rsid w:val="00023C5B"/>
    <w:rsid w:val="0002750E"/>
    <w:rsid w:val="00027A0E"/>
    <w:rsid w:val="00037602"/>
    <w:rsid w:val="00045C27"/>
    <w:rsid w:val="00072554"/>
    <w:rsid w:val="00085CE7"/>
    <w:rsid w:val="00094280"/>
    <w:rsid w:val="000A54DF"/>
    <w:rsid w:val="000B6A94"/>
    <w:rsid w:val="000B7853"/>
    <w:rsid w:val="000C4F8E"/>
    <w:rsid w:val="000D7527"/>
    <w:rsid w:val="000E028B"/>
    <w:rsid w:val="000E7E7D"/>
    <w:rsid w:val="000F1235"/>
    <w:rsid w:val="00102017"/>
    <w:rsid w:val="00115032"/>
    <w:rsid w:val="001273B6"/>
    <w:rsid w:val="00132037"/>
    <w:rsid w:val="001367AD"/>
    <w:rsid w:val="00145661"/>
    <w:rsid w:val="00173B11"/>
    <w:rsid w:val="00183FDD"/>
    <w:rsid w:val="001A3D72"/>
    <w:rsid w:val="001A7FEC"/>
    <w:rsid w:val="001B1F46"/>
    <w:rsid w:val="001D03AE"/>
    <w:rsid w:val="001D36A0"/>
    <w:rsid w:val="00215E27"/>
    <w:rsid w:val="00221B98"/>
    <w:rsid w:val="00222DB0"/>
    <w:rsid w:val="00223430"/>
    <w:rsid w:val="00235A4C"/>
    <w:rsid w:val="00264B6F"/>
    <w:rsid w:val="002A092B"/>
    <w:rsid w:val="002B0C07"/>
    <w:rsid w:val="002C2CB4"/>
    <w:rsid w:val="002C639F"/>
    <w:rsid w:val="002D2405"/>
    <w:rsid w:val="002D6313"/>
    <w:rsid w:val="002E3AF9"/>
    <w:rsid w:val="00333E12"/>
    <w:rsid w:val="00342A1D"/>
    <w:rsid w:val="0035510B"/>
    <w:rsid w:val="00365FED"/>
    <w:rsid w:val="00366379"/>
    <w:rsid w:val="003744D8"/>
    <w:rsid w:val="003A2699"/>
    <w:rsid w:val="003A2A3A"/>
    <w:rsid w:val="003D21E8"/>
    <w:rsid w:val="003E0A51"/>
    <w:rsid w:val="003E1690"/>
    <w:rsid w:val="003E5ABB"/>
    <w:rsid w:val="003F655F"/>
    <w:rsid w:val="004179D6"/>
    <w:rsid w:val="00446A46"/>
    <w:rsid w:val="00454E37"/>
    <w:rsid w:val="00454E94"/>
    <w:rsid w:val="00490234"/>
    <w:rsid w:val="004D03E7"/>
    <w:rsid w:val="004E630C"/>
    <w:rsid w:val="004F3CAB"/>
    <w:rsid w:val="004F73C7"/>
    <w:rsid w:val="00530B05"/>
    <w:rsid w:val="00534272"/>
    <w:rsid w:val="0053752D"/>
    <w:rsid w:val="00543745"/>
    <w:rsid w:val="00543759"/>
    <w:rsid w:val="005721A7"/>
    <w:rsid w:val="005729D0"/>
    <w:rsid w:val="0058532E"/>
    <w:rsid w:val="005920EA"/>
    <w:rsid w:val="005923CB"/>
    <w:rsid w:val="00592662"/>
    <w:rsid w:val="005A2310"/>
    <w:rsid w:val="005B2DCB"/>
    <w:rsid w:val="005C53F1"/>
    <w:rsid w:val="005D034F"/>
    <w:rsid w:val="005E5503"/>
    <w:rsid w:val="005F1F4B"/>
    <w:rsid w:val="00610C9F"/>
    <w:rsid w:val="00616528"/>
    <w:rsid w:val="0062515B"/>
    <w:rsid w:val="00626069"/>
    <w:rsid w:val="00640D2D"/>
    <w:rsid w:val="00642D47"/>
    <w:rsid w:val="00671ED0"/>
    <w:rsid w:val="006A0C86"/>
    <w:rsid w:val="006A4C1F"/>
    <w:rsid w:val="006A7DF6"/>
    <w:rsid w:val="006B124D"/>
    <w:rsid w:val="006D6936"/>
    <w:rsid w:val="006E29D7"/>
    <w:rsid w:val="006F1B43"/>
    <w:rsid w:val="00707B23"/>
    <w:rsid w:val="007606F4"/>
    <w:rsid w:val="00776256"/>
    <w:rsid w:val="00784720"/>
    <w:rsid w:val="0079456D"/>
    <w:rsid w:val="007B3117"/>
    <w:rsid w:val="007C78BD"/>
    <w:rsid w:val="0082679F"/>
    <w:rsid w:val="00831A4F"/>
    <w:rsid w:val="00833025"/>
    <w:rsid w:val="008540B0"/>
    <w:rsid w:val="00860A43"/>
    <w:rsid w:val="008635CF"/>
    <w:rsid w:val="00876159"/>
    <w:rsid w:val="0087637F"/>
    <w:rsid w:val="008826CA"/>
    <w:rsid w:val="008A4991"/>
    <w:rsid w:val="008C67FC"/>
    <w:rsid w:val="008E7EEA"/>
    <w:rsid w:val="0090363D"/>
    <w:rsid w:val="0091438E"/>
    <w:rsid w:val="0092545C"/>
    <w:rsid w:val="0093402D"/>
    <w:rsid w:val="0096416C"/>
    <w:rsid w:val="009805F0"/>
    <w:rsid w:val="00983E1E"/>
    <w:rsid w:val="009C72FC"/>
    <w:rsid w:val="009D0D11"/>
    <w:rsid w:val="009E676A"/>
    <w:rsid w:val="00A02148"/>
    <w:rsid w:val="00A10BBD"/>
    <w:rsid w:val="00A10CAE"/>
    <w:rsid w:val="00A12F8D"/>
    <w:rsid w:val="00A216C5"/>
    <w:rsid w:val="00A309B4"/>
    <w:rsid w:val="00A4563A"/>
    <w:rsid w:val="00A62915"/>
    <w:rsid w:val="00A65CF1"/>
    <w:rsid w:val="00AE73ED"/>
    <w:rsid w:val="00B457F4"/>
    <w:rsid w:val="00B616AA"/>
    <w:rsid w:val="00B63F8B"/>
    <w:rsid w:val="00B77B8A"/>
    <w:rsid w:val="00B81F20"/>
    <w:rsid w:val="00B9797E"/>
    <w:rsid w:val="00BB466F"/>
    <w:rsid w:val="00BC363E"/>
    <w:rsid w:val="00BD33E1"/>
    <w:rsid w:val="00BD6B5C"/>
    <w:rsid w:val="00C02E3B"/>
    <w:rsid w:val="00C56B5D"/>
    <w:rsid w:val="00C631AF"/>
    <w:rsid w:val="00C75EB3"/>
    <w:rsid w:val="00C930D8"/>
    <w:rsid w:val="00C94EEF"/>
    <w:rsid w:val="00CA0CC5"/>
    <w:rsid w:val="00D05AE8"/>
    <w:rsid w:val="00D12F4D"/>
    <w:rsid w:val="00D31BA6"/>
    <w:rsid w:val="00D517BE"/>
    <w:rsid w:val="00D73D1E"/>
    <w:rsid w:val="00D82CA3"/>
    <w:rsid w:val="00D842C8"/>
    <w:rsid w:val="00D94C8C"/>
    <w:rsid w:val="00DB1F33"/>
    <w:rsid w:val="00DB4777"/>
    <w:rsid w:val="00DC2471"/>
    <w:rsid w:val="00DC7BF7"/>
    <w:rsid w:val="00DD4C9D"/>
    <w:rsid w:val="00DE0467"/>
    <w:rsid w:val="00DE0A5D"/>
    <w:rsid w:val="00E04562"/>
    <w:rsid w:val="00E2445A"/>
    <w:rsid w:val="00E8704C"/>
    <w:rsid w:val="00EA01B6"/>
    <w:rsid w:val="00EA6E9A"/>
    <w:rsid w:val="00EB316A"/>
    <w:rsid w:val="00EB6FAA"/>
    <w:rsid w:val="00EE39D1"/>
    <w:rsid w:val="00F01CE9"/>
    <w:rsid w:val="00F07429"/>
    <w:rsid w:val="00F27968"/>
    <w:rsid w:val="00F32899"/>
    <w:rsid w:val="00F355CF"/>
    <w:rsid w:val="00F42A9E"/>
    <w:rsid w:val="00F50D75"/>
    <w:rsid w:val="00F54AE7"/>
    <w:rsid w:val="00F56D30"/>
    <w:rsid w:val="00F758E4"/>
    <w:rsid w:val="00F80886"/>
    <w:rsid w:val="00F8449F"/>
    <w:rsid w:val="00FA56D8"/>
    <w:rsid w:val="00FC54A5"/>
    <w:rsid w:val="00FD1938"/>
    <w:rsid w:val="00FD54EF"/>
    <w:rsid w:val="00FE7BB9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DB4CB"/>
  <w15:chartTrackingRefBased/>
  <w15:docId w15:val="{97007E73-3EBB-45E3-AD6B-BFFC87B6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D30"/>
  </w:style>
  <w:style w:type="paragraph" w:styleId="Heading1">
    <w:name w:val="heading 1"/>
    <w:basedOn w:val="Normal"/>
    <w:next w:val="Normal"/>
    <w:link w:val="Heading1Char"/>
    <w:uiPriority w:val="9"/>
    <w:qFormat/>
    <w:rsid w:val="00F56D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D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2F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D3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6D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6D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6D3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56D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6D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56D3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1"/>
    <w:qFormat/>
    <w:rsid w:val="0093402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83E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2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6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9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234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6069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12F8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FA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6D8"/>
  </w:style>
  <w:style w:type="paragraph" w:styleId="Footer">
    <w:name w:val="footer"/>
    <w:basedOn w:val="Normal"/>
    <w:link w:val="FooterChar"/>
    <w:uiPriority w:val="99"/>
    <w:unhideWhenUsed/>
    <w:rsid w:val="00FA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6D8"/>
  </w:style>
  <w:style w:type="paragraph" w:styleId="Revision">
    <w:name w:val="Revision"/>
    <w:hidden/>
    <w:uiPriority w:val="99"/>
    <w:semiHidden/>
    <w:rsid w:val="000B785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E7E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7E7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unimelb.service-now.com/sys_attachment.do?sys_id=ec8e380e1b0efd90d23e64e8b04bcb8a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melbcloud.sharepoint.com/:b:/r/sites/pwa/Shared%20Documents/Risk%20and%20Issue%20Management/User%20Reference%20Guides/EPMS%20Risk%20Management%20Matrix.pdf?csf=1&amp;web=1&amp;e=zrSkLK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hyperlink" Target="https://safety.unimelb.edu.au/__data/assets/pdf_file/0006/4708158/health-and-safety-risk-assessment-methodology.pdf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mv.vic.gov.au/news/new-thunderstorm-asthma-forecasting-system" TargetMode="External"/><Relationship Id="rId2" Type="http://schemas.openxmlformats.org/officeDocument/2006/relationships/hyperlink" Target="https://unimelb.service-now.com/sys_attachment.do?sys_id=a08e7cca1b0efd90d23e64e8b04bcb0d" TargetMode="External"/><Relationship Id="rId1" Type="http://schemas.openxmlformats.org/officeDocument/2006/relationships/hyperlink" Target="http://policy.unimelb.edu.au/MPF1194" TargetMode="External"/><Relationship Id="rId5" Type="http://schemas.openxmlformats.org/officeDocument/2006/relationships/hyperlink" Target="https://ahd.csiro.au/other-data/predictive-weather-files-for-building-energy-modelling/" TargetMode="External"/><Relationship Id="rId4" Type="http://schemas.openxmlformats.org/officeDocument/2006/relationships/hyperlink" Target="http://www.emv.vic.gov.au/news/vicemergency-app-warning-community-of-risks-in-real-ti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162E11535784BA0121B71CE4B29EA" ma:contentTypeVersion="27" ma:contentTypeDescription="Create a new document." ma:contentTypeScope="" ma:versionID="eace41a988bc61aba9599785068d0d29">
  <xsd:schema xmlns:xsd="http://www.w3.org/2001/XMLSchema" xmlns:xs="http://www.w3.org/2001/XMLSchema" xmlns:p="http://schemas.microsoft.com/office/2006/metadata/properties" xmlns:ns2="5a38d781-6227-45da-92cd-145694f5569b" xmlns:ns3="1b430dbd-19b4-4686-887d-05d2b4f84841" xmlns:ns4="f07d8113-1d44-46cb-baa5-a742d0650dfc" targetNamespace="http://schemas.microsoft.com/office/2006/metadata/properties" ma:root="true" ma:fieldsID="dbc0c1f112694533990d7fae11628186" ns2:_="" ns3:_="" ns4:_="">
    <xsd:import namespace="5a38d781-6227-45da-92cd-145694f5569b"/>
    <xsd:import namespace="1b430dbd-19b4-4686-887d-05d2b4f84841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4:TaxCatchAll" minOccurs="0"/>
                <xsd:element ref="ns2:lcf76f155ced4ddcb4097134ff3c332f" minOccurs="0"/>
                <xsd:element ref="ns2:SP2030_x0020_Target" minOccurs="0"/>
                <xsd:element ref="ns2:ImplementationPartner" minOccurs="0"/>
                <xsd:element ref="ns2:Document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8d781-6227-45da-92cd-145694f55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P2030_x0020_Target" ma:index="24" nillable="true" ma:displayName="SP2030 Target" ma:description="Targets from SP2030 which this document relates to" ma:format="Dropdown" ma:internalName="SP2030_x0020_Targe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domains and targets"/>
                    <xsd:enumeration value="D1. Amplifying Action"/>
                    <xsd:enumeration value="D2. Mobilising Knowledge"/>
                    <xsd:enumeration value="D3. Walking the talk"/>
                    <xsd:enumeration value="1. Climate Leadership"/>
                    <xsd:enumeration value="2. Campuses as Living Labs"/>
                    <xsd:enumeration value="3. Community of Learners"/>
                    <xsd:enumeration value="4. Graduates for Sustainable Future"/>
                    <xsd:enumeration value="5. Discovery"/>
                    <xsd:enumeration value="6. Indigenous knowledges"/>
                    <xsd:enumeration value="7. Engagement &amp; Partnerships"/>
                    <xsd:enumeration value="8. Climate Resilience"/>
                    <xsd:enumeration value="9. Healthy Ecosystems"/>
                    <xsd:enumeration value="10. Healthy Watercycles"/>
                    <xsd:enumeration value="11. Just/Circular Economy"/>
                    <xsd:enumeration value="12. Responsible Investments"/>
                    <xsd:enumeration value="Test"/>
                    <xsd:enumeration value="SST admin"/>
                    <xsd:enumeration value="Previous plan"/>
                  </xsd:restriction>
                </xsd:simpleType>
              </xsd:element>
            </xsd:sequence>
          </xsd:extension>
        </xsd:complexContent>
      </xsd:complexType>
    </xsd:element>
    <xsd:element name="ImplementationPartner" ma:index="25" nillable="true" ma:displayName="Activity Area (stakeholder)" ma:description="Internal stakeholders we are engaging with to implement SP2030 which relate to this file" ma:format="Dropdown" ma:internalName="ImplementationPartn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ST - Internal"/>
                    <xsd:enumeration value="Chancellery"/>
                    <xsd:enumeration value="Strategy &amp; Culture"/>
                    <xsd:enumeration value="COO Portfolio"/>
                    <xsd:enumeration value="Business Services"/>
                    <xsd:enumeration value="Campus Management"/>
                    <xsd:enumeration value="Operational Performance"/>
                    <xsd:enumeration value="Smart Campus"/>
                    <xsd:enumeration value="Commercial Services"/>
                    <xsd:enumeration value="CADDI"/>
                    <xsd:enumeration value="Chancellery International"/>
                    <xsd:enumeration value="Chancellery Research &amp; Enterprise"/>
                    <xsd:enumeration value="CADRe"/>
                    <xsd:enumeration value="Office of the Provost"/>
                    <xsd:enumeration value="Committee ADs Academic"/>
                    <xsd:enumeration value="Advancement"/>
                    <xsd:enumeration value="Council"/>
                    <xsd:enumeration value="Academic Board"/>
                    <xsd:enumeration value="Faculties"/>
                    <xsd:enumeration value="Faculty - ABP"/>
                    <xsd:enumeration value="Faculty - Arts"/>
                    <xsd:enumeration value="Faculty - Fine Arts &amp; Music"/>
                    <xsd:enumeration value="Faculty - MDHS"/>
                    <xsd:enumeration value="Faculty - Science"/>
                    <xsd:enumeration value="Faculty - Vet. &amp; Ag. Science"/>
                    <xsd:enumeration value="Faculty - MGSE"/>
                    <xsd:enumeration value="Faculty - FEIT"/>
                    <xsd:enumeration value="Faculty - FBE"/>
                    <xsd:enumeration value="Faculty - Law"/>
                    <xsd:enumeration value="CFPS"/>
                    <xsd:enumeration value="Fishermans Bend / AIID"/>
                    <xsd:enumeration value="Students"/>
                    <xsd:enumeration value="Wattle fellowship"/>
                    <xsd:enumeration value="MCF"/>
                    <xsd:enumeration value="SAG"/>
                  </xsd:restriction>
                </xsd:simpleType>
              </xsd:element>
            </xsd:sequence>
          </xsd:extension>
        </xsd:complexContent>
      </xsd:complexType>
    </xsd:element>
    <xsd:element name="Documentstatus" ma:index="26" nillable="true" ma:displayName="Document status" ma:description="Whether the document is currently being worked on or in active use (live), no longer being worked on  but not officially archived (to be archived) or officially archived (archived)  " ma:format="Dropdown" ma:internalName="Documentstatus">
      <xsd:simpleType>
        <xsd:restriction base="dms:Choice">
          <xsd:enumeration value="Live"/>
          <xsd:enumeration value="Reference"/>
          <xsd:enumeration value="To be archived"/>
          <xsd:enumeration value="Archived"/>
          <xsd:enumeration value="For distribution/sharing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30dbd-19b4-4686-887d-05d2b4f848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8368409-f5a3-437d-a284-372cd94b5bb3}" ma:internalName="TaxCatchAll" ma:showField="CatchAllData" ma:web="1b430dbd-19b4-4686-887d-05d2b4f848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7433D-40BD-4E63-A299-3F1825C8A6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59F86A-3572-4639-A404-825018CAF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75F06-3220-43D6-8189-BE76FAF33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8d781-6227-45da-92cd-145694f5569b"/>
    <ds:schemaRef ds:uri="1b430dbd-19b4-4686-887d-05d2b4f84841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1361</Words>
  <Characters>7764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Healey</dc:creator>
  <cp:keywords/>
  <dc:description/>
  <cp:lastModifiedBy>Kasey Cashin</cp:lastModifiedBy>
  <cp:revision>2</cp:revision>
  <cp:lastPrinted>2018-09-26T00:54:00Z</cp:lastPrinted>
  <dcterms:created xsi:type="dcterms:W3CDTF">2023-12-05T05:32:00Z</dcterms:created>
  <dcterms:modified xsi:type="dcterms:W3CDTF">2023-12-05T05:32:00Z</dcterms:modified>
</cp:coreProperties>
</file>