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B1626" w14:textId="04A05915" w:rsidR="009D09DE" w:rsidRDefault="009D09DE">
      <w:pPr>
        <w:rPr>
          <w:b/>
          <w:bCs/>
        </w:rPr>
      </w:pPr>
      <w:r w:rsidRPr="009D09DE">
        <w:rPr>
          <w:b/>
          <w:bCs/>
        </w:rPr>
        <w:t xml:space="preserve">Management of Research Data and Records Policy (MPF1242) – Major Amendment </w:t>
      </w:r>
    </w:p>
    <w:p w14:paraId="16862890" w14:textId="4780E941" w:rsidR="005A4958" w:rsidRPr="009D09DE" w:rsidRDefault="005A4958">
      <w:pPr>
        <w:rPr>
          <w:b/>
          <w:bCs/>
        </w:rPr>
      </w:pPr>
      <w:r>
        <w:rPr>
          <w:b/>
          <w:bCs/>
        </w:rPr>
        <w:t xml:space="preserve">Consultation Draft </w:t>
      </w:r>
      <w:r w:rsidR="00105312">
        <w:rPr>
          <w:b/>
          <w:bCs/>
        </w:rPr>
        <w:t>March</w:t>
      </w:r>
      <w:r w:rsidR="001F24C6">
        <w:rPr>
          <w:b/>
          <w:bCs/>
        </w:rPr>
        <w:t xml:space="preserve"> 2021</w:t>
      </w:r>
    </w:p>
    <w:p w14:paraId="7F95A8B9" w14:textId="77777777" w:rsidR="009D09DE" w:rsidRDefault="009D09DE"/>
    <w:p w14:paraId="331C5402" w14:textId="3C4AB182" w:rsidR="009B4F10" w:rsidRPr="00B241C2" w:rsidRDefault="005A4958">
      <w:pPr>
        <w:rPr>
          <w:b/>
          <w:bCs/>
          <w:i/>
          <w:iCs/>
        </w:rPr>
      </w:pPr>
      <w:r>
        <w:rPr>
          <w:b/>
          <w:bCs/>
          <w:i/>
          <w:iCs/>
        </w:rPr>
        <w:t xml:space="preserve">Appendix - </w:t>
      </w:r>
      <w:r w:rsidR="00903F5E" w:rsidRPr="00B241C2">
        <w:rPr>
          <w:b/>
          <w:bCs/>
          <w:i/>
          <w:iCs/>
        </w:rPr>
        <w:t xml:space="preserve">Frequently </w:t>
      </w:r>
      <w:r w:rsidR="009D09DE" w:rsidRPr="00B241C2">
        <w:rPr>
          <w:b/>
          <w:bCs/>
          <w:i/>
          <w:iCs/>
        </w:rPr>
        <w:t>A</w:t>
      </w:r>
      <w:r w:rsidR="00903F5E" w:rsidRPr="00B241C2">
        <w:rPr>
          <w:b/>
          <w:bCs/>
          <w:i/>
          <w:iCs/>
        </w:rPr>
        <w:t xml:space="preserve">sked </w:t>
      </w:r>
      <w:r w:rsidR="009D09DE" w:rsidRPr="00B241C2">
        <w:rPr>
          <w:b/>
          <w:bCs/>
          <w:i/>
          <w:iCs/>
        </w:rPr>
        <w:t>Q</w:t>
      </w:r>
      <w:r w:rsidR="00903F5E" w:rsidRPr="00B241C2">
        <w:rPr>
          <w:b/>
          <w:bCs/>
          <w:i/>
          <w:iCs/>
        </w:rPr>
        <w:t>uestions</w:t>
      </w:r>
    </w:p>
    <w:p w14:paraId="7291276B" w14:textId="45A233A0" w:rsidR="00903F5E" w:rsidRDefault="00903F5E"/>
    <w:tbl>
      <w:tblPr>
        <w:tblStyle w:val="TableGrid"/>
        <w:tblW w:w="9924" w:type="dxa"/>
        <w:tblInd w:w="-431" w:type="dxa"/>
        <w:tblCellMar>
          <w:top w:w="57" w:type="dxa"/>
          <w:bottom w:w="57" w:type="dxa"/>
        </w:tblCellMar>
        <w:tblLook w:val="04A0" w:firstRow="1" w:lastRow="0" w:firstColumn="1" w:lastColumn="0" w:noHBand="0" w:noVBand="1"/>
      </w:tblPr>
      <w:tblGrid>
        <w:gridCol w:w="1295"/>
        <w:gridCol w:w="2409"/>
        <w:gridCol w:w="6220"/>
      </w:tblGrid>
      <w:tr w:rsidR="00B546A7" w:rsidRPr="009D09DE" w14:paraId="23C42046" w14:textId="77777777" w:rsidTr="00E159A9">
        <w:trPr>
          <w:cantSplit/>
          <w:tblHeader/>
        </w:trPr>
        <w:tc>
          <w:tcPr>
            <w:tcW w:w="1295" w:type="dxa"/>
          </w:tcPr>
          <w:p w14:paraId="64EDF6DC" w14:textId="7DF0EDB2" w:rsidR="00B546A7" w:rsidRPr="009D09DE" w:rsidRDefault="00B546A7">
            <w:pPr>
              <w:rPr>
                <w:b/>
                <w:bCs/>
              </w:rPr>
            </w:pPr>
            <w:r w:rsidRPr="009D09DE">
              <w:rPr>
                <w:b/>
                <w:bCs/>
              </w:rPr>
              <w:t>Clause</w:t>
            </w:r>
          </w:p>
        </w:tc>
        <w:tc>
          <w:tcPr>
            <w:tcW w:w="2409" w:type="dxa"/>
          </w:tcPr>
          <w:p w14:paraId="5AC25028" w14:textId="196F5BF8" w:rsidR="00B546A7" w:rsidRPr="009D09DE" w:rsidRDefault="00B546A7">
            <w:pPr>
              <w:rPr>
                <w:b/>
                <w:bCs/>
              </w:rPr>
            </w:pPr>
            <w:r w:rsidRPr="009D09DE">
              <w:rPr>
                <w:b/>
                <w:bCs/>
              </w:rPr>
              <w:t>Question</w:t>
            </w:r>
          </w:p>
        </w:tc>
        <w:tc>
          <w:tcPr>
            <w:tcW w:w="6220" w:type="dxa"/>
          </w:tcPr>
          <w:p w14:paraId="6B89E286" w14:textId="29E588D0" w:rsidR="00B546A7" w:rsidRPr="009D09DE" w:rsidRDefault="00B546A7">
            <w:pPr>
              <w:rPr>
                <w:b/>
                <w:bCs/>
              </w:rPr>
            </w:pPr>
            <w:r w:rsidRPr="009D09DE">
              <w:rPr>
                <w:b/>
                <w:bCs/>
              </w:rPr>
              <w:t>Answer</w:t>
            </w:r>
          </w:p>
        </w:tc>
      </w:tr>
      <w:tr w:rsidR="001F24C6" w14:paraId="314A4672" w14:textId="77777777" w:rsidTr="00E159A9">
        <w:trPr>
          <w:cantSplit/>
        </w:trPr>
        <w:tc>
          <w:tcPr>
            <w:tcW w:w="1295" w:type="dxa"/>
          </w:tcPr>
          <w:p w14:paraId="0DD983F6" w14:textId="149CF1B2" w:rsidR="001F24C6" w:rsidRDefault="001F24C6" w:rsidP="006D11C9">
            <w:r>
              <w:t>All</w:t>
            </w:r>
          </w:p>
        </w:tc>
        <w:tc>
          <w:tcPr>
            <w:tcW w:w="2409" w:type="dxa"/>
          </w:tcPr>
          <w:p w14:paraId="6CA834E1" w14:textId="68FACA25" w:rsidR="001F24C6" w:rsidRDefault="001F24C6" w:rsidP="006D11C9">
            <w:r>
              <w:t>The majority of clauses in the policy outline responsibilities for researchers – what is the University doing to support researchers to meet these responsibilities?</w:t>
            </w:r>
          </w:p>
        </w:tc>
        <w:tc>
          <w:tcPr>
            <w:tcW w:w="6220" w:type="dxa"/>
          </w:tcPr>
          <w:p w14:paraId="45FFCE80" w14:textId="77777777" w:rsidR="007C6314" w:rsidRDefault="001F24C6" w:rsidP="006D11C9">
            <w:r>
              <w:t xml:space="preserve">The University is currently investing in a multi-year Research Data Management Program </w:t>
            </w:r>
            <w:r w:rsidR="00E45865">
              <w:t>(</w:t>
            </w:r>
            <w:r>
              <w:t xml:space="preserve">through the </w:t>
            </w:r>
            <w:hyperlink r:id="rId12" w:history="1">
              <w:r w:rsidRPr="00BB5E8B">
                <w:rPr>
                  <w:rStyle w:val="Hyperlink"/>
                </w:rPr>
                <w:t>Petascale Campus Initiative</w:t>
              </w:r>
            </w:hyperlink>
            <w:r w:rsidR="00E45865">
              <w:t>)</w:t>
            </w:r>
            <w:r>
              <w:t xml:space="preserve">. </w:t>
            </w:r>
          </w:p>
          <w:p w14:paraId="383AB408" w14:textId="77777777" w:rsidR="007C6314" w:rsidRDefault="007C6314" w:rsidP="006D11C9"/>
          <w:p w14:paraId="37603E16" w14:textId="42421A4D" w:rsidR="001F24C6" w:rsidRDefault="001F24C6" w:rsidP="006D11C9">
            <w:r>
              <w:t xml:space="preserve">This policy amendment represents one small component of the Program. </w:t>
            </w:r>
            <w:r w:rsidR="00C649DB">
              <w:t>Additionally, the Program</w:t>
            </w:r>
            <w:r>
              <w:t xml:space="preserve"> is currently in the process of:</w:t>
            </w:r>
          </w:p>
          <w:p w14:paraId="7CE6735D" w14:textId="77777777" w:rsidR="002A2B15" w:rsidRDefault="001F24C6" w:rsidP="001F24C6">
            <w:pPr>
              <w:pStyle w:val="ListParagraph"/>
              <w:numPr>
                <w:ilvl w:val="0"/>
                <w:numId w:val="4"/>
              </w:numPr>
            </w:pPr>
            <w:r w:rsidRPr="00DB2BFF">
              <w:rPr>
                <w:b/>
                <w:bCs/>
              </w:rPr>
              <w:t>Implementing new research data infrastructure</w:t>
            </w:r>
            <w:r w:rsidR="00605DC0">
              <w:t>, including</w:t>
            </w:r>
            <w:r w:rsidR="002A2B15">
              <w:t>:</w:t>
            </w:r>
          </w:p>
          <w:p w14:paraId="47C3C4D2" w14:textId="189C15E7" w:rsidR="002A2B15" w:rsidRDefault="002A2B15" w:rsidP="002A2B15">
            <w:pPr>
              <w:pStyle w:val="ListParagraph"/>
              <w:numPr>
                <w:ilvl w:val="1"/>
                <w:numId w:val="4"/>
              </w:numPr>
            </w:pPr>
            <w:r w:rsidRPr="002A2B15">
              <w:rPr>
                <w:b/>
                <w:bCs/>
              </w:rPr>
              <w:t>S</w:t>
            </w:r>
            <w:r w:rsidR="001F24C6" w:rsidRPr="002A2B15">
              <w:rPr>
                <w:b/>
                <w:bCs/>
              </w:rPr>
              <w:t>ecure research environments</w:t>
            </w:r>
            <w:r w:rsidR="001F24C6">
              <w:t xml:space="preserve"> </w:t>
            </w:r>
            <w:r w:rsidR="00605DC0">
              <w:t>to support researchers in</w:t>
            </w:r>
            <w:r w:rsidR="001F24C6">
              <w:t xml:space="preserve"> processing and manag</w:t>
            </w:r>
            <w:r w:rsidR="00605DC0">
              <w:t xml:space="preserve">ing </w:t>
            </w:r>
            <w:r w:rsidR="001F24C6">
              <w:t>sensitive research data</w:t>
            </w:r>
            <w:r w:rsidR="00605DC0">
              <w:t xml:space="preserve"> safely</w:t>
            </w:r>
          </w:p>
          <w:p w14:paraId="4F543564" w14:textId="0C469039" w:rsidR="001F24C6" w:rsidRDefault="002A2B15" w:rsidP="002A2B15">
            <w:pPr>
              <w:pStyle w:val="ListParagraph"/>
              <w:numPr>
                <w:ilvl w:val="1"/>
                <w:numId w:val="4"/>
              </w:numPr>
            </w:pPr>
            <w:r w:rsidRPr="002A2B15">
              <w:rPr>
                <w:b/>
                <w:bCs/>
              </w:rPr>
              <w:t>R</w:t>
            </w:r>
            <w:r w:rsidR="001F24C6" w:rsidRPr="002A2B15">
              <w:rPr>
                <w:b/>
                <w:bCs/>
              </w:rPr>
              <w:t>etention storage</w:t>
            </w:r>
            <w:r w:rsidR="001F24C6">
              <w:t xml:space="preserve"> </w:t>
            </w:r>
            <w:r w:rsidR="00605DC0">
              <w:t>to support researchers with</w:t>
            </w:r>
            <w:r w:rsidR="001F24C6">
              <w:t xml:space="preserve"> </w:t>
            </w:r>
            <w:r w:rsidR="00605DC0">
              <w:t xml:space="preserve">meeting their </w:t>
            </w:r>
            <w:r w:rsidR="001F24C6">
              <w:t>retention obligations</w:t>
            </w:r>
          </w:p>
          <w:p w14:paraId="3BF2A7FA" w14:textId="508CA6D2" w:rsidR="001F24C6" w:rsidRDefault="001F24C6" w:rsidP="001F24C6">
            <w:pPr>
              <w:pStyle w:val="ListParagraph"/>
              <w:numPr>
                <w:ilvl w:val="0"/>
                <w:numId w:val="4"/>
              </w:numPr>
            </w:pPr>
            <w:r w:rsidRPr="00DB2BFF">
              <w:rPr>
                <w:b/>
                <w:bCs/>
              </w:rPr>
              <w:t xml:space="preserve">Enhancing existing </w:t>
            </w:r>
            <w:r w:rsidR="00605DC0" w:rsidRPr="00DB2BFF">
              <w:rPr>
                <w:b/>
                <w:bCs/>
              </w:rPr>
              <w:t xml:space="preserve">research </w:t>
            </w:r>
            <w:r w:rsidRPr="00DB2BFF">
              <w:rPr>
                <w:b/>
                <w:bCs/>
              </w:rPr>
              <w:t>infrastructure</w:t>
            </w:r>
            <w:r>
              <w:t xml:space="preserve"> to improve</w:t>
            </w:r>
            <w:r w:rsidR="00C649DB">
              <w:t xml:space="preserve"> performance</w:t>
            </w:r>
            <w:r w:rsidR="0077053B">
              <w:t>, improve researcher experience, and lower barriers to access/use</w:t>
            </w:r>
          </w:p>
          <w:p w14:paraId="276CA593" w14:textId="77777777" w:rsidR="008D689C" w:rsidRDefault="00605DC0" w:rsidP="00605DC0">
            <w:pPr>
              <w:pStyle w:val="ListParagraph"/>
              <w:numPr>
                <w:ilvl w:val="0"/>
                <w:numId w:val="4"/>
              </w:numPr>
            </w:pPr>
            <w:r w:rsidRPr="00DB2BFF">
              <w:rPr>
                <w:b/>
                <w:bCs/>
              </w:rPr>
              <w:t>Developing new resources</w:t>
            </w:r>
            <w:r>
              <w:t xml:space="preserve"> such as guidelines, </w:t>
            </w:r>
            <w:r w:rsidR="002A2B15">
              <w:t xml:space="preserve">information resources and training </w:t>
            </w:r>
            <w:r w:rsidR="008D689C">
              <w:t>to support researchers with good RDM practices</w:t>
            </w:r>
          </w:p>
          <w:p w14:paraId="3C3D808C" w14:textId="01F98B0B" w:rsidR="00605DC0" w:rsidRDefault="008D689C" w:rsidP="00605DC0">
            <w:pPr>
              <w:pStyle w:val="ListParagraph"/>
              <w:numPr>
                <w:ilvl w:val="0"/>
                <w:numId w:val="4"/>
              </w:numPr>
            </w:pPr>
            <w:r w:rsidRPr="00DB2BFF">
              <w:rPr>
                <w:b/>
                <w:bCs/>
              </w:rPr>
              <w:t>Streamlining access to RDM services</w:t>
            </w:r>
            <w:r>
              <w:t xml:space="preserve"> to ensure researchers can locate and </w:t>
            </w:r>
            <w:r w:rsidR="00DB2BFF">
              <w:t>receive</w:t>
            </w:r>
            <w:r>
              <w:t xml:space="preserve"> </w:t>
            </w:r>
            <w:r w:rsidR="00DB2BFF">
              <w:t>support from the various research data support teams across the University</w:t>
            </w:r>
          </w:p>
          <w:p w14:paraId="2BE10F69" w14:textId="77777777" w:rsidR="00605DC0" w:rsidRDefault="00605DC0" w:rsidP="00605DC0"/>
          <w:p w14:paraId="0C0184A4" w14:textId="25A8C12C" w:rsidR="002A2B15" w:rsidRDefault="00605DC0" w:rsidP="00605DC0">
            <w:r>
              <w:t xml:space="preserve">All of these </w:t>
            </w:r>
            <w:r w:rsidR="00CB1C42">
              <w:t xml:space="preserve">have been developed with </w:t>
            </w:r>
            <w:r w:rsidR="002A2B15">
              <w:t>extensive academic engagement</w:t>
            </w:r>
            <w:r w:rsidR="00F45676">
              <w:t xml:space="preserve"> and input</w:t>
            </w:r>
            <w:r w:rsidR="002A2B15">
              <w:t>, to ensure that solutions and resources produced meet</w:t>
            </w:r>
            <w:r w:rsidR="00F45676">
              <w:t xml:space="preserve"> research</w:t>
            </w:r>
            <w:r w:rsidR="00CB1C42">
              <w:t>er</w:t>
            </w:r>
            <w:r w:rsidR="00F45676">
              <w:t xml:space="preserve"> requirements.</w:t>
            </w:r>
          </w:p>
        </w:tc>
      </w:tr>
      <w:tr w:rsidR="00B546A7" w14:paraId="40179A61" w14:textId="77777777" w:rsidTr="00E159A9">
        <w:trPr>
          <w:cantSplit/>
        </w:trPr>
        <w:tc>
          <w:tcPr>
            <w:tcW w:w="1295" w:type="dxa"/>
          </w:tcPr>
          <w:p w14:paraId="2567CF19" w14:textId="6E7BE615" w:rsidR="00B546A7" w:rsidRDefault="00B546A7" w:rsidP="006D11C9">
            <w:r>
              <w:t>All</w:t>
            </w:r>
          </w:p>
        </w:tc>
        <w:tc>
          <w:tcPr>
            <w:tcW w:w="2409" w:type="dxa"/>
          </w:tcPr>
          <w:p w14:paraId="56BD9534" w14:textId="3D92829D" w:rsidR="00B546A7" w:rsidRDefault="00B546A7" w:rsidP="006D11C9">
            <w:r>
              <w:t>When will the amended Policy come into effect?</w:t>
            </w:r>
          </w:p>
        </w:tc>
        <w:tc>
          <w:tcPr>
            <w:tcW w:w="6220" w:type="dxa"/>
          </w:tcPr>
          <w:p w14:paraId="776EBDDD" w14:textId="5607836F" w:rsidR="00B546A7" w:rsidRDefault="00B546A7" w:rsidP="006D11C9">
            <w:r>
              <w:t xml:space="preserve">The amended Policy will come into effect after </w:t>
            </w:r>
            <w:proofErr w:type="gramStart"/>
            <w:r>
              <w:t>an</w:t>
            </w:r>
            <w:proofErr w:type="gramEnd"/>
            <w:r>
              <w:t xml:space="preserve"> consultation period with the University community, endorsement by the Research Ethics and Integrity Strategy Committee and final approval by the Deputy Vice Chancellor (Research). </w:t>
            </w:r>
          </w:p>
          <w:p w14:paraId="5F28C8A3" w14:textId="77777777" w:rsidR="00B546A7" w:rsidRDefault="00B546A7" w:rsidP="006D11C9"/>
          <w:p w14:paraId="4211CDF9" w14:textId="578BB468" w:rsidR="001F24C6" w:rsidRPr="001F24C6" w:rsidRDefault="00B546A7" w:rsidP="001F24C6">
            <w:pPr>
              <w:rPr>
                <w:color w:val="000000" w:themeColor="text1"/>
              </w:rPr>
            </w:pPr>
            <w:r>
              <w:t xml:space="preserve">It is likely this process will be completed </w:t>
            </w:r>
            <w:r w:rsidR="001F24C6">
              <w:t xml:space="preserve">and </w:t>
            </w:r>
            <w:r>
              <w:t xml:space="preserve">come into effect in </w:t>
            </w:r>
            <w:r w:rsidR="001F24C6">
              <w:t>Q</w:t>
            </w:r>
            <w:r w:rsidR="00944D3B">
              <w:t>2</w:t>
            </w:r>
            <w:r w:rsidR="001F24C6">
              <w:t xml:space="preserve"> of</w:t>
            </w:r>
            <w:r>
              <w:t xml:space="preserve"> 2021. </w:t>
            </w:r>
          </w:p>
        </w:tc>
      </w:tr>
      <w:tr w:rsidR="00B546A7" w14:paraId="41473D2F" w14:textId="77777777" w:rsidTr="00E159A9">
        <w:trPr>
          <w:cantSplit/>
        </w:trPr>
        <w:tc>
          <w:tcPr>
            <w:tcW w:w="1295" w:type="dxa"/>
          </w:tcPr>
          <w:p w14:paraId="2B60C733" w14:textId="05A108BC" w:rsidR="00B546A7" w:rsidRDefault="00B546A7" w:rsidP="006D11C9">
            <w:r>
              <w:lastRenderedPageBreak/>
              <w:t>All</w:t>
            </w:r>
          </w:p>
        </w:tc>
        <w:tc>
          <w:tcPr>
            <w:tcW w:w="2409" w:type="dxa"/>
          </w:tcPr>
          <w:p w14:paraId="72E0BE17" w14:textId="18707084" w:rsidR="00B546A7" w:rsidRDefault="00B546A7" w:rsidP="006D11C9">
            <w:r>
              <w:t>What does this amended Policy mean for research data and records generated prior to the Policy coming into effect?</w:t>
            </w:r>
          </w:p>
        </w:tc>
        <w:tc>
          <w:tcPr>
            <w:tcW w:w="6220" w:type="dxa"/>
          </w:tcPr>
          <w:p w14:paraId="69926F17" w14:textId="0279674F" w:rsidR="00B546A7" w:rsidRPr="00890590" w:rsidRDefault="00B546A7" w:rsidP="006D11C9">
            <w:pPr>
              <w:rPr>
                <w:color w:val="000000" w:themeColor="text1"/>
              </w:rPr>
            </w:pPr>
            <w:r w:rsidRPr="00890590">
              <w:rPr>
                <w:color w:val="000000" w:themeColor="text1"/>
              </w:rPr>
              <w:t xml:space="preserve">The amended policy will apply from the Effective Date and govern research activities from that point. </w:t>
            </w:r>
          </w:p>
          <w:p w14:paraId="2EBDB59C" w14:textId="77777777" w:rsidR="00B546A7" w:rsidRPr="00890590" w:rsidRDefault="00B546A7" w:rsidP="006D11C9">
            <w:pPr>
              <w:rPr>
                <w:color w:val="000000" w:themeColor="text1"/>
              </w:rPr>
            </w:pPr>
          </w:p>
          <w:p w14:paraId="41F43698" w14:textId="571A77F0" w:rsidR="00B546A7" w:rsidRPr="00890590" w:rsidRDefault="00B546A7" w:rsidP="006D11C9">
            <w:pPr>
              <w:rPr>
                <w:color w:val="000000" w:themeColor="text1"/>
              </w:rPr>
            </w:pPr>
            <w:r w:rsidRPr="00890590">
              <w:rPr>
                <w:color w:val="000000" w:themeColor="text1"/>
              </w:rPr>
              <w:t xml:space="preserve">While the Policy clauses introduced in this amendment are not retrospective, it is important to note that they are often </w:t>
            </w:r>
            <w:r>
              <w:rPr>
                <w:color w:val="000000" w:themeColor="text1"/>
              </w:rPr>
              <w:t xml:space="preserve">a distillation of pre-existing </w:t>
            </w:r>
            <w:r w:rsidRPr="00890590">
              <w:rPr>
                <w:color w:val="000000" w:themeColor="text1"/>
              </w:rPr>
              <w:t>obligations defined by legislation and research codes of practice (as outlined in Clause 3.1)</w:t>
            </w:r>
            <w:r>
              <w:rPr>
                <w:color w:val="000000" w:themeColor="text1"/>
              </w:rPr>
              <w:t>.</w:t>
            </w:r>
          </w:p>
          <w:p w14:paraId="6CCCD376" w14:textId="08D94404" w:rsidR="00B546A7" w:rsidRPr="00890590" w:rsidRDefault="00B546A7" w:rsidP="006D11C9">
            <w:pPr>
              <w:rPr>
                <w:color w:val="000000" w:themeColor="text1"/>
              </w:rPr>
            </w:pPr>
          </w:p>
          <w:p w14:paraId="32E97556" w14:textId="14940786" w:rsidR="001F24C6" w:rsidRPr="001F24C6" w:rsidRDefault="00B546A7" w:rsidP="001F24C6">
            <w:pPr>
              <w:rPr>
                <w:color w:val="000000" w:themeColor="text1"/>
              </w:rPr>
            </w:pPr>
            <w:r w:rsidRPr="00890590">
              <w:rPr>
                <w:color w:val="000000" w:themeColor="text1"/>
              </w:rPr>
              <w:t>The University is currently progressing a series of strategic research data management initiatives that will enable easier compliance with the obligations outlined in the amended Policy. Where possible, these initiatives will attempt to encompass/support research data and records generated prior to the amended Policy’s Effective Dat</w:t>
            </w:r>
            <w:r>
              <w:rPr>
                <w:color w:val="000000" w:themeColor="text1"/>
              </w:rPr>
              <w:t>e</w:t>
            </w:r>
            <w:r w:rsidRPr="00890590">
              <w:rPr>
                <w:color w:val="000000" w:themeColor="text1"/>
              </w:rPr>
              <w:t>.</w:t>
            </w:r>
          </w:p>
        </w:tc>
      </w:tr>
      <w:tr w:rsidR="00B546A7" w14:paraId="104ABD49" w14:textId="77777777" w:rsidTr="00E159A9">
        <w:trPr>
          <w:cantSplit/>
        </w:trPr>
        <w:tc>
          <w:tcPr>
            <w:tcW w:w="1295" w:type="dxa"/>
          </w:tcPr>
          <w:p w14:paraId="2E393805" w14:textId="1EBDB3C8" w:rsidR="00B546A7" w:rsidRDefault="00B546A7" w:rsidP="006D11C9">
            <w:r>
              <w:t>All</w:t>
            </w:r>
          </w:p>
        </w:tc>
        <w:tc>
          <w:tcPr>
            <w:tcW w:w="2409" w:type="dxa"/>
          </w:tcPr>
          <w:p w14:paraId="427DD962" w14:textId="6D4B7754" w:rsidR="00B546A7" w:rsidRDefault="00B546A7" w:rsidP="006D11C9">
            <w:r>
              <w:t>How does the Policy address contributor arrangements e.g. for research done with collaborators at other institutions?</w:t>
            </w:r>
          </w:p>
        </w:tc>
        <w:tc>
          <w:tcPr>
            <w:tcW w:w="6220" w:type="dxa"/>
          </w:tcPr>
          <w:p w14:paraId="3FE2F9AD" w14:textId="2E5AE565" w:rsidR="00B546A7" w:rsidRPr="009C4298" w:rsidRDefault="00B546A7" w:rsidP="006D11C9">
            <w:pPr>
              <w:rPr>
                <w:color w:val="000000" w:themeColor="text1"/>
              </w:rPr>
            </w:pPr>
            <w:r w:rsidRPr="009C4298">
              <w:rPr>
                <w:color w:val="000000" w:themeColor="text1"/>
              </w:rPr>
              <w:t>If formal agreements have allocated primary responsibility for data to a third party (e.g.</w:t>
            </w:r>
            <w:r>
              <w:rPr>
                <w:color w:val="000000" w:themeColor="text1"/>
              </w:rPr>
              <w:t>,</w:t>
            </w:r>
            <w:r w:rsidRPr="009C4298">
              <w:rPr>
                <w:color w:val="000000" w:themeColor="text1"/>
              </w:rPr>
              <w:t xml:space="preserve"> a government or industry partner, another administering institution for a research grant), the Policy does not apply.</w:t>
            </w:r>
          </w:p>
          <w:p w14:paraId="3BF09D82" w14:textId="77777777" w:rsidR="00B546A7" w:rsidRPr="009C4298" w:rsidRDefault="00B546A7" w:rsidP="006D11C9">
            <w:pPr>
              <w:rPr>
                <w:color w:val="000000" w:themeColor="text1"/>
              </w:rPr>
            </w:pPr>
          </w:p>
          <w:p w14:paraId="1DF7621B" w14:textId="6C168A3A" w:rsidR="00B546A7" w:rsidRPr="009C4298" w:rsidRDefault="00B546A7" w:rsidP="006D11C9">
            <w:pPr>
              <w:rPr>
                <w:color w:val="000000" w:themeColor="text1"/>
              </w:rPr>
            </w:pPr>
            <w:r w:rsidRPr="009C4298">
              <w:rPr>
                <w:color w:val="000000" w:themeColor="text1"/>
              </w:rPr>
              <w:t xml:space="preserve">For other contributor arrangements, the Policy instructs that data ownership and responsibility for data must be identified and documented at the beginning of the research project/activity, with key factors that should be considered in this process. </w:t>
            </w:r>
          </w:p>
          <w:p w14:paraId="39DFE05C" w14:textId="77777777" w:rsidR="00B546A7" w:rsidRPr="009C4298" w:rsidRDefault="00B546A7" w:rsidP="006D11C9">
            <w:pPr>
              <w:rPr>
                <w:color w:val="000000" w:themeColor="text1"/>
              </w:rPr>
            </w:pPr>
          </w:p>
          <w:p w14:paraId="40BD7E93" w14:textId="77777777" w:rsidR="00B546A7" w:rsidRPr="009C4298" w:rsidRDefault="00B546A7" w:rsidP="006D11C9">
            <w:pPr>
              <w:rPr>
                <w:color w:val="000000" w:themeColor="text1"/>
              </w:rPr>
            </w:pPr>
            <w:r w:rsidRPr="009C4298">
              <w:rPr>
                <w:color w:val="000000" w:themeColor="text1"/>
              </w:rPr>
              <w:t xml:space="preserve">The working group is considering if a practical process for determining ownership and responsibility can be developed for the </w:t>
            </w:r>
            <w:hyperlink r:id="rId13" w:history="1">
              <w:r w:rsidRPr="009C4298">
                <w:rPr>
                  <w:rStyle w:val="Hyperlink"/>
                  <w:color w:val="000000" w:themeColor="text1"/>
                </w:rPr>
                <w:t>University Process Library</w:t>
              </w:r>
            </w:hyperlink>
            <w:r w:rsidRPr="009C4298">
              <w:rPr>
                <w:color w:val="000000" w:themeColor="text1"/>
              </w:rPr>
              <w:t xml:space="preserve"> to support this Policy. </w:t>
            </w:r>
          </w:p>
          <w:p w14:paraId="6123C520" w14:textId="77777777" w:rsidR="00B546A7" w:rsidRPr="009C4298" w:rsidRDefault="00B546A7" w:rsidP="006D11C9">
            <w:pPr>
              <w:rPr>
                <w:color w:val="000000" w:themeColor="text1"/>
              </w:rPr>
            </w:pPr>
          </w:p>
          <w:p w14:paraId="710963E8" w14:textId="0DF1599A" w:rsidR="001F24C6" w:rsidRPr="001F24C6" w:rsidRDefault="00B546A7" w:rsidP="001F24C6">
            <w:r w:rsidRPr="009C4298">
              <w:rPr>
                <w:color w:val="000000" w:themeColor="text1"/>
              </w:rPr>
              <w:t>More generally, complex collaboration arrangements may need to be referred to the University’s Legal Services or Research, Innovation and Commercialisation to clearly resolve issues of data ownership or responsibility.</w:t>
            </w:r>
          </w:p>
        </w:tc>
      </w:tr>
      <w:tr w:rsidR="00B546A7" w14:paraId="193F8A63" w14:textId="77777777" w:rsidTr="00E159A9">
        <w:trPr>
          <w:cantSplit/>
        </w:trPr>
        <w:tc>
          <w:tcPr>
            <w:tcW w:w="1295" w:type="dxa"/>
          </w:tcPr>
          <w:p w14:paraId="714BC711" w14:textId="0356C673" w:rsidR="00B546A7" w:rsidRDefault="00B546A7" w:rsidP="006D11C9">
            <w:r>
              <w:lastRenderedPageBreak/>
              <w:t>All</w:t>
            </w:r>
          </w:p>
        </w:tc>
        <w:tc>
          <w:tcPr>
            <w:tcW w:w="2409" w:type="dxa"/>
          </w:tcPr>
          <w:p w14:paraId="1D1EBF8F" w14:textId="7AF325BD" w:rsidR="00B546A7" w:rsidRDefault="00B546A7" w:rsidP="006D11C9">
            <w:r>
              <w:t>How does the Policy address physical research data and records?</w:t>
            </w:r>
          </w:p>
        </w:tc>
        <w:tc>
          <w:tcPr>
            <w:tcW w:w="6220" w:type="dxa"/>
          </w:tcPr>
          <w:p w14:paraId="11103F5C" w14:textId="15AB657A" w:rsidR="00B546A7" w:rsidRDefault="00B546A7" w:rsidP="006D11C9">
            <w:r>
              <w:t>Physical forms of research data and records are included in the definitions for research data and research records and the same standards for their management apply as for digital formats.</w:t>
            </w:r>
          </w:p>
          <w:p w14:paraId="4724901B" w14:textId="77777777" w:rsidR="00B546A7" w:rsidRDefault="00B546A7" w:rsidP="006D11C9"/>
          <w:p w14:paraId="6F32015B" w14:textId="4A72EDE7" w:rsidR="00B546A7" w:rsidRDefault="00B546A7" w:rsidP="006D11C9">
            <w:pPr>
              <w:rPr>
                <w:bCs/>
                <w:color w:val="000000" w:themeColor="text1"/>
              </w:rPr>
            </w:pPr>
            <w:r>
              <w:t xml:space="preserve">Where adequately managing physical research data and records is not practical, the Policy recommends that </w:t>
            </w:r>
            <w:r w:rsidRPr="00C16B95">
              <w:rPr>
                <w:bCs/>
                <w:color w:val="000000" w:themeColor="text1"/>
              </w:rPr>
              <w:t xml:space="preserve">durable records documenting or derived from them </w:t>
            </w:r>
            <w:r>
              <w:rPr>
                <w:bCs/>
                <w:color w:val="000000" w:themeColor="text1"/>
              </w:rPr>
              <w:t>should</w:t>
            </w:r>
            <w:r w:rsidRPr="00C16B95">
              <w:rPr>
                <w:bCs/>
                <w:color w:val="000000" w:themeColor="text1"/>
              </w:rPr>
              <w:t xml:space="preserve"> be stored in digital formats</w:t>
            </w:r>
            <w:r>
              <w:rPr>
                <w:bCs/>
                <w:color w:val="000000" w:themeColor="text1"/>
              </w:rPr>
              <w:t xml:space="preserve"> (when appropriate). </w:t>
            </w:r>
          </w:p>
          <w:p w14:paraId="60AAF403" w14:textId="77777777" w:rsidR="00B546A7" w:rsidRDefault="00B546A7" w:rsidP="006D11C9">
            <w:pPr>
              <w:rPr>
                <w:bCs/>
                <w:color w:val="000000" w:themeColor="text1"/>
              </w:rPr>
            </w:pPr>
          </w:p>
          <w:p w14:paraId="3FA78900" w14:textId="21C60CC0" w:rsidR="00B546A7" w:rsidRDefault="00B546A7" w:rsidP="006D11C9">
            <w:r>
              <w:rPr>
                <w:bCs/>
                <w:color w:val="000000" w:themeColor="text1"/>
              </w:rPr>
              <w:t xml:space="preserve">Of note, the University provides central services for the long term storage of hard copy records through </w:t>
            </w:r>
            <w:hyperlink r:id="rId14" w:history="1">
              <w:r w:rsidRPr="00394B09">
                <w:rPr>
                  <w:rStyle w:val="Hyperlink"/>
                  <w:bCs/>
                </w:rPr>
                <w:t>Records and Information</w:t>
              </w:r>
            </w:hyperlink>
            <w:r>
              <w:rPr>
                <w:bCs/>
                <w:color w:val="000000" w:themeColor="text1"/>
              </w:rPr>
              <w:t xml:space="preserve">, as well as resources and support for digitisation of physical research data and records through the </w:t>
            </w:r>
            <w:hyperlink r:id="rId15" w:history="1">
              <w:r w:rsidRPr="00E04CF3">
                <w:rPr>
                  <w:rStyle w:val="Hyperlink"/>
                  <w:bCs/>
                </w:rPr>
                <w:t>University Digitisation Centre</w:t>
              </w:r>
            </w:hyperlink>
            <w:r>
              <w:rPr>
                <w:bCs/>
                <w:color w:val="000000" w:themeColor="text1"/>
              </w:rPr>
              <w:t>.</w:t>
            </w:r>
          </w:p>
        </w:tc>
      </w:tr>
      <w:tr w:rsidR="00B546A7" w14:paraId="1F487E8F" w14:textId="77777777" w:rsidTr="00E159A9">
        <w:trPr>
          <w:cantSplit/>
        </w:trPr>
        <w:tc>
          <w:tcPr>
            <w:tcW w:w="1295" w:type="dxa"/>
          </w:tcPr>
          <w:p w14:paraId="08F1B94A" w14:textId="2CE34E5A" w:rsidR="00B546A7" w:rsidRDefault="00B546A7" w:rsidP="006D11C9">
            <w:r>
              <w:t>5.1, 5.16</w:t>
            </w:r>
          </w:p>
        </w:tc>
        <w:tc>
          <w:tcPr>
            <w:tcW w:w="2409" w:type="dxa"/>
          </w:tcPr>
          <w:p w14:paraId="7D707A36" w14:textId="0FD8197D" w:rsidR="00B546A7" w:rsidRDefault="00B546A7" w:rsidP="006D11C9">
            <w:r>
              <w:t xml:space="preserve">Why do Indigenous data sovereignty clauses specify Aboriginal and Torres Strait Islander peoples instead of all First Nations peoples? </w:t>
            </w:r>
          </w:p>
        </w:tc>
        <w:tc>
          <w:tcPr>
            <w:tcW w:w="6220" w:type="dxa"/>
          </w:tcPr>
          <w:p w14:paraId="1D7E161F" w14:textId="42B8FE60" w:rsidR="00B546A7" w:rsidRDefault="00B546A7" w:rsidP="006D11C9">
            <w:r>
              <w:t xml:space="preserve">We note that principles for Indigenous intellectual and cultural property rights are similar for First Nations peoples internationally (as outlined by the </w:t>
            </w:r>
            <w:hyperlink r:id="rId16" w:history="1">
              <w:r w:rsidRPr="002648EB">
                <w:rPr>
                  <w:rStyle w:val="Hyperlink"/>
                </w:rPr>
                <w:t>Global Indigenous Data Alliance’s CARE Principles for Indigenous Data Governance</w:t>
              </w:r>
            </w:hyperlink>
            <w:r>
              <w:t xml:space="preserve">). These principles are regarded as ‘ethical requirements’ for research regarding First Nations peoples. Adherence to ‘ethical requirements’ are referenced throughout the Policy, and we have not attempted to define the breadth of these requirements. </w:t>
            </w:r>
          </w:p>
          <w:p w14:paraId="738A9BC3" w14:textId="77777777" w:rsidR="00B546A7" w:rsidRDefault="00B546A7" w:rsidP="006D11C9"/>
          <w:p w14:paraId="5F0D60D4" w14:textId="4A2F538A" w:rsidR="00B546A7" w:rsidRPr="00264C9C" w:rsidRDefault="00B546A7" w:rsidP="006D11C9">
            <w:r>
              <w:t>Specific mention of the rights of Aboriginal and Torres Strait Islander peoples has been included to support compliance with Australian legislation and research codes of practice</w:t>
            </w:r>
            <w:r w:rsidR="00673A93">
              <w:t xml:space="preserve">, particularly </w:t>
            </w:r>
            <w:r>
              <w:t xml:space="preserve">the </w:t>
            </w:r>
            <w:r w:rsidRPr="002908B0">
              <w:rPr>
                <w:i/>
                <w:iCs/>
              </w:rPr>
              <w:t>Code of Ethics for Aboriginal and Torres Strait Islander Research</w:t>
            </w:r>
            <w:r>
              <w:t xml:space="preserve">. </w:t>
            </w:r>
          </w:p>
        </w:tc>
      </w:tr>
      <w:tr w:rsidR="00B546A7" w14:paraId="51CBAE0E" w14:textId="77777777" w:rsidTr="00E159A9">
        <w:trPr>
          <w:cantSplit/>
        </w:trPr>
        <w:tc>
          <w:tcPr>
            <w:tcW w:w="1295" w:type="dxa"/>
          </w:tcPr>
          <w:p w14:paraId="69B5F3E8" w14:textId="789779F0" w:rsidR="00B546A7" w:rsidRDefault="00B546A7" w:rsidP="006D11C9">
            <w:r>
              <w:t>5.2, 5.8</w:t>
            </w:r>
          </w:p>
        </w:tc>
        <w:tc>
          <w:tcPr>
            <w:tcW w:w="2409" w:type="dxa"/>
          </w:tcPr>
          <w:p w14:paraId="2FE652FC" w14:textId="41B9268D" w:rsidR="00B546A7" w:rsidRDefault="00B546A7" w:rsidP="006D11C9">
            <w:r>
              <w:t>For research data and records under the University’s control, what are the mechanisms for Researchers to ensure the University has a record of the ownership and responsibility or the research activity’s completion?</w:t>
            </w:r>
          </w:p>
        </w:tc>
        <w:tc>
          <w:tcPr>
            <w:tcW w:w="6220" w:type="dxa"/>
          </w:tcPr>
          <w:p w14:paraId="4F6090E7" w14:textId="2E4A85FA" w:rsidR="00B546A7" w:rsidRDefault="00B546A7" w:rsidP="006D11C9">
            <w:r>
              <w:t>Research Computing Services currently maintains a register for research projects stored on central research infrastructure (i.e. managed by Research Computing Services), including details about a project’s status as active or completed.</w:t>
            </w:r>
          </w:p>
          <w:p w14:paraId="14612D15" w14:textId="77777777" w:rsidR="00B546A7" w:rsidRDefault="00B546A7" w:rsidP="006D11C9"/>
          <w:p w14:paraId="011FD2B7" w14:textId="55B29037" w:rsidR="00B546A7" w:rsidRDefault="00B546A7" w:rsidP="006D11C9">
            <w:r>
              <w:t xml:space="preserve">The recommended process for creating or updating a record within this system is currently being documented for the </w:t>
            </w:r>
            <w:hyperlink r:id="rId17">
              <w:r w:rsidRPr="09FE13C0">
                <w:rPr>
                  <w:rStyle w:val="Hyperlink"/>
                </w:rPr>
                <w:t>University Process Library</w:t>
              </w:r>
            </w:hyperlink>
            <w:r>
              <w:t xml:space="preserve"> to support this Policy.</w:t>
            </w:r>
          </w:p>
          <w:p w14:paraId="2527E21B" w14:textId="77777777" w:rsidR="00B546A7" w:rsidRDefault="00B546A7" w:rsidP="006D11C9"/>
          <w:p w14:paraId="320A5781" w14:textId="1F898277" w:rsidR="00B546A7" w:rsidRDefault="00B546A7" w:rsidP="006D11C9">
            <w:r>
              <w:t xml:space="preserve">As infrastructure, services and processes develop over time, the documented process will be updated to guide researchers in how to meet these policy clauses. </w:t>
            </w:r>
          </w:p>
        </w:tc>
      </w:tr>
      <w:tr w:rsidR="00B546A7" w14:paraId="2F7C7E6B" w14:textId="77777777" w:rsidTr="00E159A9">
        <w:trPr>
          <w:cantSplit/>
        </w:trPr>
        <w:tc>
          <w:tcPr>
            <w:tcW w:w="1295" w:type="dxa"/>
          </w:tcPr>
          <w:p w14:paraId="7BE121D3" w14:textId="24D21EDB" w:rsidR="00B546A7" w:rsidRDefault="00B546A7" w:rsidP="006D11C9">
            <w:r>
              <w:lastRenderedPageBreak/>
              <w:t>5.5</w:t>
            </w:r>
          </w:p>
        </w:tc>
        <w:tc>
          <w:tcPr>
            <w:tcW w:w="2409" w:type="dxa"/>
          </w:tcPr>
          <w:p w14:paraId="2F47F124" w14:textId="60C8C59A" w:rsidR="00B546A7" w:rsidRDefault="00B546A7" w:rsidP="006D11C9">
            <w:r>
              <w:t>Does the University’s responsibility to provide facilities for the safe and secure storage and management of research data and records have limits in relation to individual entitlements?</w:t>
            </w:r>
          </w:p>
        </w:tc>
        <w:tc>
          <w:tcPr>
            <w:tcW w:w="6220" w:type="dxa"/>
          </w:tcPr>
          <w:p w14:paraId="7A61DAE5" w14:textId="77777777" w:rsidR="00B546A7" w:rsidRDefault="00B546A7" w:rsidP="006D11C9">
            <w:r>
              <w:t xml:space="preserve">The University is investing heavily into providing extensive facilities for the storage and management of research data. </w:t>
            </w:r>
          </w:p>
          <w:p w14:paraId="7BAB5059" w14:textId="77777777" w:rsidR="00B546A7" w:rsidRDefault="00B546A7" w:rsidP="006D11C9"/>
          <w:p w14:paraId="72B24DA9" w14:textId="402AF663" w:rsidR="00B546A7" w:rsidRDefault="00B546A7" w:rsidP="006D11C9">
            <w:r>
              <w:t>However, due to the size of the University’s research community and exponential data growth in certain disciplines, there are necessary limits on individual entitlements to University facilities (e.g., storage capacity) which support a more equitable distribution of central research resources.</w:t>
            </w:r>
          </w:p>
          <w:p w14:paraId="4B6D4470" w14:textId="77777777" w:rsidR="00B546A7" w:rsidRDefault="00B546A7" w:rsidP="006D11C9"/>
          <w:p w14:paraId="75FABEF4" w14:textId="40366421" w:rsidR="00B546A7" w:rsidRDefault="00B546A7" w:rsidP="006D11C9">
            <w:r>
              <w:t>For researchers with extensive data requirements, the University will assess requests for additional capacity on University facilities on a case-by-case basis.</w:t>
            </w:r>
          </w:p>
        </w:tc>
      </w:tr>
      <w:tr w:rsidR="00B546A7" w14:paraId="271E1459" w14:textId="77777777" w:rsidTr="00E159A9">
        <w:trPr>
          <w:cantSplit/>
        </w:trPr>
        <w:tc>
          <w:tcPr>
            <w:tcW w:w="1295" w:type="dxa"/>
          </w:tcPr>
          <w:p w14:paraId="29E94F8D" w14:textId="5967304B" w:rsidR="00B546A7" w:rsidRDefault="00B546A7" w:rsidP="006D11C9">
            <w:r>
              <w:t>5.5</w:t>
            </w:r>
          </w:p>
        </w:tc>
        <w:tc>
          <w:tcPr>
            <w:tcW w:w="2409" w:type="dxa"/>
          </w:tcPr>
          <w:p w14:paraId="16C474AC" w14:textId="7708BA4C" w:rsidR="00B546A7" w:rsidRDefault="00B546A7" w:rsidP="006D11C9">
            <w:r>
              <w:t>What are the research data advisory services at the University to consult with about how to meet legal and ethical obligations?</w:t>
            </w:r>
          </w:p>
        </w:tc>
        <w:tc>
          <w:tcPr>
            <w:tcW w:w="6220" w:type="dxa"/>
          </w:tcPr>
          <w:p w14:paraId="0CE13600" w14:textId="01B65682" w:rsidR="00B546A7" w:rsidRDefault="00B546A7" w:rsidP="006D11C9">
            <w:r>
              <w:t xml:space="preserve">Various teams are able to provide advice and support regarding your research data management. These include the Office of Research Integrity and Ethics, Scholarly Services, Research Computing Services, Legal and Risk and others. </w:t>
            </w:r>
          </w:p>
          <w:p w14:paraId="7B561A21" w14:textId="77777777" w:rsidR="00B546A7" w:rsidRDefault="00B546A7" w:rsidP="006D11C9"/>
          <w:p w14:paraId="09BCB2A5" w14:textId="4AEA20D4" w:rsidR="00B546A7" w:rsidRDefault="00B546A7" w:rsidP="006D11C9">
            <w:r>
              <w:t xml:space="preserve">These teams can found on the Research Gateway </w:t>
            </w:r>
            <w:hyperlink r:id="rId18" w:history="1">
              <w:r>
                <w:rPr>
                  <w:rStyle w:val="Hyperlink"/>
                </w:rPr>
                <w:t>here</w:t>
              </w:r>
            </w:hyperlink>
            <w:r>
              <w:t xml:space="preserve">. </w:t>
            </w:r>
          </w:p>
        </w:tc>
      </w:tr>
      <w:tr w:rsidR="003530BC" w14:paraId="35C17C4D" w14:textId="77777777" w:rsidTr="00E159A9">
        <w:trPr>
          <w:cantSplit/>
        </w:trPr>
        <w:tc>
          <w:tcPr>
            <w:tcW w:w="1295" w:type="dxa"/>
          </w:tcPr>
          <w:p w14:paraId="643A2C0D" w14:textId="30C19E9A" w:rsidR="003530BC" w:rsidRDefault="00D6129C" w:rsidP="00F82097">
            <w:r>
              <w:lastRenderedPageBreak/>
              <w:t xml:space="preserve">5.7, </w:t>
            </w:r>
            <w:r w:rsidR="003530BC">
              <w:t>5.8</w:t>
            </w:r>
          </w:p>
        </w:tc>
        <w:tc>
          <w:tcPr>
            <w:tcW w:w="2409" w:type="dxa"/>
          </w:tcPr>
          <w:p w14:paraId="7D832922" w14:textId="402DB78F" w:rsidR="00A45F35" w:rsidRDefault="00D6129C" w:rsidP="00F82097">
            <w:r>
              <w:t xml:space="preserve">Current retention obligations are impractical </w:t>
            </w:r>
            <w:r w:rsidR="00F962AD">
              <w:t xml:space="preserve">for researchers </w:t>
            </w:r>
            <w:r w:rsidR="00FC4FA6">
              <w:t>to meet</w:t>
            </w:r>
            <w:r w:rsidR="001E1249">
              <w:t>.</w:t>
            </w:r>
            <w:r w:rsidR="00F962AD">
              <w:t xml:space="preserve"> </w:t>
            </w:r>
            <w:r w:rsidR="001E1249">
              <w:t xml:space="preserve">Can the policy take a more minimalist view </w:t>
            </w:r>
            <w:r w:rsidR="00FD11B2">
              <w:t>of what should be retained</w:t>
            </w:r>
            <w:r w:rsidR="00143A26">
              <w:t xml:space="preserve">? </w:t>
            </w:r>
          </w:p>
          <w:p w14:paraId="16AACEAD" w14:textId="77777777" w:rsidR="00A45F35" w:rsidRDefault="00A45F35" w:rsidP="00F82097"/>
          <w:p w14:paraId="26B8D347" w14:textId="19798183" w:rsidR="003530BC" w:rsidRDefault="00143A26" w:rsidP="00F82097">
            <w:r>
              <w:t xml:space="preserve">Examples might include </w:t>
            </w:r>
            <w:r w:rsidR="00FA7CA2">
              <w:t xml:space="preserve">specifying certain classes of data and research records which need to be retained over others e.g. </w:t>
            </w:r>
            <w:r w:rsidR="00FD11B2">
              <w:t xml:space="preserve">processed data </w:t>
            </w:r>
            <w:r w:rsidR="00E34405">
              <w:t>vs</w:t>
            </w:r>
            <w:r w:rsidR="00FD11B2">
              <w:t xml:space="preserve"> raw </w:t>
            </w:r>
            <w:proofErr w:type="gramStart"/>
            <w:r w:rsidR="00FD11B2">
              <w:t>data</w:t>
            </w:r>
            <w:r w:rsidR="009F0B44">
              <w:t>,</w:t>
            </w:r>
            <w:r w:rsidR="005F53D2">
              <w:t xml:space="preserve"> or</w:t>
            </w:r>
            <w:proofErr w:type="gramEnd"/>
            <w:r w:rsidR="005F53D2">
              <w:t xml:space="preserve"> retaining </w:t>
            </w:r>
            <w:r w:rsidR="00A45F35">
              <w:t>metadata records in place of research data.</w:t>
            </w:r>
          </w:p>
        </w:tc>
        <w:tc>
          <w:tcPr>
            <w:tcW w:w="6220" w:type="dxa"/>
          </w:tcPr>
          <w:p w14:paraId="54C72923" w14:textId="2A2935A9" w:rsidR="008E7B06" w:rsidRDefault="002B2E9E" w:rsidP="00940219">
            <w:pPr>
              <w:rPr>
                <w:rFonts w:ascii="Calibri" w:hAnsi="Calibri" w:cs="Calibri"/>
                <w:color w:val="000000"/>
              </w:rPr>
            </w:pPr>
            <w:r>
              <w:rPr>
                <w:rFonts w:ascii="Calibri" w:hAnsi="Calibri" w:cs="Calibri"/>
                <w:color w:val="000000"/>
              </w:rPr>
              <w:t xml:space="preserve">The policy </w:t>
            </w:r>
            <w:r w:rsidR="000F7417">
              <w:rPr>
                <w:rFonts w:ascii="Calibri" w:hAnsi="Calibri" w:cs="Calibri"/>
                <w:color w:val="000000"/>
              </w:rPr>
              <w:t>mandates around retention are derived from the</w:t>
            </w:r>
            <w:r w:rsidR="00190415">
              <w:rPr>
                <w:rFonts w:ascii="Calibri" w:hAnsi="Calibri" w:cs="Calibri"/>
                <w:color w:val="000000"/>
              </w:rPr>
              <w:t xml:space="preserve"> </w:t>
            </w:r>
            <w:r w:rsidR="00D17A2F">
              <w:rPr>
                <w:rFonts w:ascii="Calibri" w:hAnsi="Calibri" w:cs="Calibri"/>
                <w:color w:val="000000"/>
              </w:rPr>
              <w:t>Public Records Act</w:t>
            </w:r>
            <w:r w:rsidR="000A0222">
              <w:rPr>
                <w:rFonts w:ascii="Calibri" w:hAnsi="Calibri" w:cs="Calibri"/>
                <w:color w:val="000000"/>
              </w:rPr>
              <w:t xml:space="preserve"> 1973</w:t>
            </w:r>
            <w:r w:rsidR="0002237A">
              <w:rPr>
                <w:rFonts w:ascii="Calibri" w:hAnsi="Calibri" w:cs="Calibri"/>
                <w:color w:val="000000"/>
              </w:rPr>
              <w:t xml:space="preserve"> (Vic)</w:t>
            </w:r>
            <w:r w:rsidR="00D17A2F">
              <w:rPr>
                <w:rFonts w:ascii="Calibri" w:hAnsi="Calibri" w:cs="Calibri"/>
                <w:color w:val="000000"/>
              </w:rPr>
              <w:t xml:space="preserve"> and </w:t>
            </w:r>
            <w:r w:rsidR="002A2069">
              <w:rPr>
                <w:rFonts w:ascii="Calibri" w:hAnsi="Calibri" w:cs="Calibri"/>
                <w:color w:val="000000"/>
              </w:rPr>
              <w:t xml:space="preserve">the </w:t>
            </w:r>
            <w:hyperlink r:id="rId19" w:history="1">
              <w:r w:rsidR="002A2069" w:rsidRPr="00846C12">
                <w:rPr>
                  <w:rStyle w:val="Hyperlink"/>
                  <w:rFonts w:ascii="Calibri" w:hAnsi="Calibri" w:cs="Calibri"/>
                </w:rPr>
                <w:t xml:space="preserve">Retention and Disposal Authority </w:t>
              </w:r>
              <w:r w:rsidR="00D519DD" w:rsidRPr="00846C12">
                <w:rPr>
                  <w:rStyle w:val="Hyperlink"/>
                  <w:rFonts w:ascii="Calibri" w:hAnsi="Calibri" w:cs="Calibri"/>
                </w:rPr>
                <w:t>for Higher and Further Education Functions</w:t>
              </w:r>
            </w:hyperlink>
            <w:r w:rsidR="00D519DD">
              <w:rPr>
                <w:rFonts w:ascii="Calibri" w:hAnsi="Calibri" w:cs="Calibri"/>
                <w:color w:val="000000"/>
              </w:rPr>
              <w:t xml:space="preserve"> (which are summarised in</w:t>
            </w:r>
            <w:r w:rsidR="00030969">
              <w:rPr>
                <w:rFonts w:ascii="Calibri" w:hAnsi="Calibri" w:cs="Calibri"/>
                <w:color w:val="000000"/>
              </w:rPr>
              <w:t xml:space="preserve"> the</w:t>
            </w:r>
            <w:r w:rsidR="003C7395">
              <w:rPr>
                <w:rFonts w:ascii="Calibri" w:hAnsi="Calibri" w:cs="Calibri"/>
                <w:color w:val="000000"/>
              </w:rPr>
              <w:t xml:space="preserve"> </w:t>
            </w:r>
            <w:hyperlink r:id="rId20" w:history="1">
              <w:r w:rsidR="002F369F" w:rsidRPr="0002237A">
                <w:rPr>
                  <w:rStyle w:val="Hyperlink"/>
                </w:rPr>
                <w:t>University Records Retention and Disposal Authority</w:t>
              </w:r>
            </w:hyperlink>
            <w:r w:rsidR="002F369F" w:rsidRPr="00C00A28">
              <w:rPr>
                <w:rFonts w:ascii="Calibri" w:hAnsi="Calibri" w:cs="Calibri"/>
                <w:color w:val="000000"/>
              </w:rPr>
              <w:t>)</w:t>
            </w:r>
            <w:r w:rsidR="0002237A">
              <w:rPr>
                <w:rFonts w:ascii="Calibri" w:hAnsi="Calibri" w:cs="Calibri"/>
                <w:color w:val="000000"/>
              </w:rPr>
              <w:t>.</w:t>
            </w:r>
            <w:r w:rsidR="00C00A28">
              <w:rPr>
                <w:rFonts w:ascii="Calibri" w:hAnsi="Calibri" w:cs="Calibri"/>
                <w:color w:val="000000"/>
              </w:rPr>
              <w:t xml:space="preserve"> </w:t>
            </w:r>
          </w:p>
          <w:p w14:paraId="5189FB04" w14:textId="77777777" w:rsidR="008E7B06" w:rsidRDefault="008E7B06" w:rsidP="00940219">
            <w:pPr>
              <w:rPr>
                <w:rFonts w:ascii="Calibri" w:hAnsi="Calibri" w:cs="Calibri"/>
                <w:color w:val="000000"/>
              </w:rPr>
            </w:pPr>
          </w:p>
          <w:p w14:paraId="5FB870DC" w14:textId="778201BF" w:rsidR="008E754B" w:rsidRDefault="00265A73" w:rsidP="00940219">
            <w:pPr>
              <w:rPr>
                <w:rFonts w:ascii="Calibri" w:hAnsi="Calibri" w:cs="Calibri"/>
                <w:color w:val="000000"/>
              </w:rPr>
            </w:pPr>
            <w:r>
              <w:rPr>
                <w:rFonts w:ascii="Calibri" w:hAnsi="Calibri" w:cs="Calibri"/>
                <w:color w:val="000000"/>
              </w:rPr>
              <w:t xml:space="preserve">The </w:t>
            </w:r>
            <w:r w:rsidR="00C52CF1">
              <w:rPr>
                <w:rFonts w:ascii="Calibri" w:hAnsi="Calibri" w:cs="Calibri"/>
                <w:color w:val="000000"/>
              </w:rPr>
              <w:t xml:space="preserve">Australian Code for the Responsible Conduct of Research </w:t>
            </w:r>
            <w:r w:rsidR="009776EF">
              <w:rPr>
                <w:rFonts w:ascii="Calibri" w:hAnsi="Calibri" w:cs="Calibri"/>
                <w:color w:val="000000"/>
              </w:rPr>
              <w:t xml:space="preserve">also </w:t>
            </w:r>
            <w:r>
              <w:rPr>
                <w:rFonts w:ascii="Calibri" w:hAnsi="Calibri" w:cs="Calibri"/>
                <w:color w:val="000000"/>
              </w:rPr>
              <w:t>states that it is a responsibility of researchers to “</w:t>
            </w:r>
            <w:r w:rsidR="009776EF" w:rsidRPr="009776EF">
              <w:rPr>
                <w:rFonts w:ascii="Calibri" w:hAnsi="Calibri" w:cs="Calibri"/>
                <w:color w:val="000000"/>
              </w:rPr>
              <w:t>Retain clear, accurate, secure and complete records of all research including research data and primary materials.</w:t>
            </w:r>
            <w:r w:rsidR="009776EF">
              <w:rPr>
                <w:rFonts w:ascii="Calibri" w:hAnsi="Calibri" w:cs="Calibri"/>
                <w:color w:val="000000"/>
              </w:rPr>
              <w:t>”</w:t>
            </w:r>
          </w:p>
          <w:p w14:paraId="2C34F1EA" w14:textId="77777777" w:rsidR="008E754B" w:rsidRDefault="008E754B" w:rsidP="00940219">
            <w:pPr>
              <w:rPr>
                <w:rFonts w:ascii="Calibri" w:hAnsi="Calibri" w:cs="Calibri"/>
                <w:color w:val="000000"/>
              </w:rPr>
            </w:pPr>
          </w:p>
          <w:p w14:paraId="50369627" w14:textId="1DD8B94C" w:rsidR="00C407FC" w:rsidRPr="00C407FC" w:rsidRDefault="001D716B" w:rsidP="00C407FC">
            <w:pPr>
              <w:rPr>
                <w:rFonts w:ascii="Calibri" w:hAnsi="Calibri" w:cs="Calibri"/>
                <w:color w:val="000000"/>
              </w:rPr>
            </w:pPr>
            <w:r>
              <w:rPr>
                <w:rFonts w:ascii="Calibri" w:hAnsi="Calibri" w:cs="Calibri"/>
                <w:color w:val="000000"/>
              </w:rPr>
              <w:t>W</w:t>
            </w:r>
            <w:r w:rsidR="00F913D9">
              <w:rPr>
                <w:rFonts w:ascii="Calibri" w:hAnsi="Calibri" w:cs="Calibri"/>
                <w:color w:val="000000"/>
              </w:rPr>
              <w:t>e acknowledge that</w:t>
            </w:r>
            <w:r w:rsidR="00F962AD">
              <w:rPr>
                <w:rFonts w:ascii="Calibri" w:hAnsi="Calibri" w:cs="Calibri"/>
                <w:color w:val="000000"/>
              </w:rPr>
              <w:t>:</w:t>
            </w:r>
          </w:p>
          <w:p w14:paraId="12E35982" w14:textId="77777777" w:rsidR="00233C0A" w:rsidRDefault="0095294D" w:rsidP="00C407FC">
            <w:pPr>
              <w:pStyle w:val="ListParagraph"/>
              <w:numPr>
                <w:ilvl w:val="0"/>
                <w:numId w:val="6"/>
              </w:numPr>
              <w:rPr>
                <w:rFonts w:ascii="Calibri" w:hAnsi="Calibri" w:cs="Calibri"/>
                <w:color w:val="000000"/>
              </w:rPr>
            </w:pPr>
            <w:r>
              <w:rPr>
                <w:rFonts w:ascii="Calibri" w:hAnsi="Calibri" w:cs="Calibri"/>
                <w:color w:val="000000"/>
              </w:rPr>
              <w:t>T</w:t>
            </w:r>
            <w:r w:rsidR="00C00A28" w:rsidRPr="0095294D">
              <w:rPr>
                <w:rFonts w:ascii="Calibri" w:hAnsi="Calibri" w:cs="Calibri"/>
                <w:color w:val="000000"/>
              </w:rPr>
              <w:t xml:space="preserve">he exponentially growing scale of research data is not well accommodated by these </w:t>
            </w:r>
            <w:r w:rsidR="00D64AD8" w:rsidRPr="0095294D">
              <w:rPr>
                <w:rFonts w:ascii="Calibri" w:hAnsi="Calibri" w:cs="Calibri"/>
                <w:color w:val="000000"/>
              </w:rPr>
              <w:t>regulatory</w:t>
            </w:r>
            <w:r w:rsidR="00C00A28" w:rsidRPr="0095294D">
              <w:rPr>
                <w:rFonts w:ascii="Calibri" w:hAnsi="Calibri" w:cs="Calibri"/>
                <w:color w:val="000000"/>
              </w:rPr>
              <w:t xml:space="preserve"> </w:t>
            </w:r>
            <w:r w:rsidR="003A2D1D" w:rsidRPr="0095294D">
              <w:rPr>
                <w:rFonts w:ascii="Calibri" w:hAnsi="Calibri" w:cs="Calibri"/>
                <w:color w:val="000000"/>
              </w:rPr>
              <w:t>mandates</w:t>
            </w:r>
            <w:r w:rsidR="009D563C" w:rsidRPr="0095294D">
              <w:rPr>
                <w:rFonts w:ascii="Calibri" w:hAnsi="Calibri" w:cs="Calibri"/>
                <w:color w:val="000000"/>
              </w:rPr>
              <w:t xml:space="preserve">. </w:t>
            </w:r>
          </w:p>
          <w:p w14:paraId="067A998F" w14:textId="5DD570DC" w:rsidR="00C407FC" w:rsidRPr="004D48C5" w:rsidRDefault="00A30397" w:rsidP="00233C0A">
            <w:pPr>
              <w:pStyle w:val="ListParagraph"/>
              <w:numPr>
                <w:ilvl w:val="0"/>
                <w:numId w:val="6"/>
              </w:numPr>
              <w:rPr>
                <w:rFonts w:ascii="Calibri" w:hAnsi="Calibri" w:cs="Calibri"/>
                <w:color w:val="000000"/>
              </w:rPr>
            </w:pPr>
            <w:r w:rsidRPr="004D48C5">
              <w:rPr>
                <w:rFonts w:ascii="Calibri" w:hAnsi="Calibri" w:cs="Calibri"/>
              </w:rPr>
              <w:t xml:space="preserve">As stated by the Guide supporting the </w:t>
            </w:r>
            <w:r w:rsidR="004D48C5">
              <w:rPr>
                <w:rFonts w:ascii="Calibri" w:hAnsi="Calibri" w:cs="Calibri"/>
              </w:rPr>
              <w:t>C</w:t>
            </w:r>
            <w:r w:rsidRPr="004D48C5">
              <w:rPr>
                <w:rFonts w:ascii="Calibri" w:hAnsi="Calibri" w:cs="Calibri"/>
              </w:rPr>
              <w:t>ode, “t</w:t>
            </w:r>
            <w:r w:rsidR="00C407FC" w:rsidRPr="004D48C5">
              <w:rPr>
                <w:rFonts w:ascii="Calibri" w:hAnsi="Calibri" w:cs="Calibri"/>
              </w:rPr>
              <w:t>he central aims of retention of data and information are to enable the justification of outcomes of the research and the facilitation of sharing of research data.</w:t>
            </w:r>
            <w:r w:rsidRPr="004D48C5">
              <w:rPr>
                <w:rFonts w:ascii="Calibri" w:hAnsi="Calibri" w:cs="Calibri"/>
              </w:rPr>
              <w:t>”</w:t>
            </w:r>
            <w:r w:rsidR="004D48C5">
              <w:rPr>
                <w:rStyle w:val="FootnoteReference"/>
                <w:rFonts w:ascii="Calibri" w:hAnsi="Calibri" w:cs="Calibri"/>
              </w:rPr>
              <w:footnoteReference w:id="2"/>
            </w:r>
            <w:r w:rsidR="00C407FC" w:rsidRPr="004D48C5">
              <w:rPr>
                <w:rFonts w:ascii="Calibri" w:hAnsi="Calibri" w:cs="Calibri"/>
              </w:rPr>
              <w:t xml:space="preserve"> </w:t>
            </w:r>
          </w:p>
          <w:p w14:paraId="03D43C1B" w14:textId="3AE8056C" w:rsidR="00D9088D" w:rsidRPr="0095294D" w:rsidRDefault="00D9088D" w:rsidP="004270E1">
            <w:pPr>
              <w:pStyle w:val="ListParagraph"/>
              <w:numPr>
                <w:ilvl w:val="0"/>
                <w:numId w:val="6"/>
              </w:numPr>
              <w:rPr>
                <w:rFonts w:ascii="Calibri" w:hAnsi="Calibri" w:cs="Calibri"/>
                <w:color w:val="000000"/>
              </w:rPr>
            </w:pPr>
            <w:r>
              <w:rPr>
                <w:rFonts w:ascii="Calibri" w:hAnsi="Calibri" w:cs="Calibri"/>
                <w:color w:val="000000"/>
              </w:rPr>
              <w:t xml:space="preserve">There are disciplinary differences that impact what research data and records should be retained </w:t>
            </w:r>
            <w:r w:rsidR="00B05691">
              <w:rPr>
                <w:rFonts w:ascii="Calibri" w:hAnsi="Calibri" w:cs="Calibri"/>
                <w:color w:val="000000"/>
              </w:rPr>
              <w:t xml:space="preserve">for </w:t>
            </w:r>
            <w:r w:rsidR="00A30397">
              <w:rPr>
                <w:rFonts w:ascii="Calibri" w:hAnsi="Calibri" w:cs="Calibri"/>
                <w:color w:val="000000"/>
              </w:rPr>
              <w:t>the justification of research outcomes</w:t>
            </w:r>
            <w:r w:rsidR="002541E7">
              <w:rPr>
                <w:rFonts w:ascii="Calibri" w:hAnsi="Calibri" w:cs="Calibri"/>
                <w:color w:val="000000"/>
              </w:rPr>
              <w:t>.</w:t>
            </w:r>
          </w:p>
          <w:p w14:paraId="1B8E1B7E" w14:textId="6DCC9045" w:rsidR="003530BC" w:rsidRPr="004356AB" w:rsidRDefault="00940219" w:rsidP="00F82097">
            <w:pPr>
              <w:rPr>
                <w:rFonts w:ascii="Calibri" w:hAnsi="Calibri" w:cs="Calibri"/>
                <w:color w:val="000000"/>
              </w:rPr>
            </w:pPr>
            <w:r>
              <w:rPr>
                <w:rFonts w:ascii="Calibri" w:hAnsi="Calibri" w:cs="Calibri"/>
                <w:color w:val="000000"/>
              </w:rPr>
              <w:br/>
            </w:r>
            <w:r w:rsidR="001D716B">
              <w:rPr>
                <w:rFonts w:ascii="Calibri" w:hAnsi="Calibri" w:cs="Calibri"/>
                <w:color w:val="000000"/>
              </w:rPr>
              <w:t>While complete retention may be necessary to demonstrate research integrity in some cases, t</w:t>
            </w:r>
            <w:r w:rsidR="005447A8">
              <w:rPr>
                <w:rFonts w:ascii="Calibri" w:hAnsi="Calibri" w:cs="Calibri"/>
                <w:color w:val="000000"/>
              </w:rPr>
              <w:t xml:space="preserve">he University is currently working with other </w:t>
            </w:r>
            <w:r w:rsidR="00EF3BFD">
              <w:rPr>
                <w:rFonts w:ascii="Calibri" w:hAnsi="Calibri" w:cs="Calibri"/>
                <w:color w:val="000000"/>
              </w:rPr>
              <w:t>Universities</w:t>
            </w:r>
            <w:r w:rsidR="005447A8">
              <w:rPr>
                <w:rFonts w:ascii="Calibri" w:hAnsi="Calibri" w:cs="Calibri"/>
                <w:color w:val="000000"/>
              </w:rPr>
              <w:t xml:space="preserve"> to </w:t>
            </w:r>
            <w:r w:rsidR="00340EB3">
              <w:rPr>
                <w:rFonts w:ascii="Calibri" w:hAnsi="Calibri" w:cs="Calibri"/>
                <w:color w:val="000000"/>
              </w:rPr>
              <w:t xml:space="preserve">influence </w:t>
            </w:r>
            <w:r w:rsidR="001E68FC">
              <w:rPr>
                <w:rFonts w:ascii="Calibri" w:hAnsi="Calibri" w:cs="Calibri"/>
                <w:color w:val="000000"/>
              </w:rPr>
              <w:t xml:space="preserve">and develop </w:t>
            </w:r>
            <w:r w:rsidR="00340EB3">
              <w:rPr>
                <w:rFonts w:ascii="Calibri" w:hAnsi="Calibri" w:cs="Calibri"/>
                <w:color w:val="000000"/>
              </w:rPr>
              <w:t>more</w:t>
            </w:r>
            <w:r w:rsidR="001E68FC">
              <w:rPr>
                <w:rFonts w:ascii="Calibri" w:hAnsi="Calibri" w:cs="Calibri"/>
                <w:color w:val="000000"/>
              </w:rPr>
              <w:t xml:space="preserve"> nuanced and</w:t>
            </w:r>
            <w:r w:rsidR="00340EB3">
              <w:rPr>
                <w:rFonts w:ascii="Calibri" w:hAnsi="Calibri" w:cs="Calibri"/>
                <w:color w:val="000000"/>
              </w:rPr>
              <w:t xml:space="preserve"> pragmatic views of research data retention</w:t>
            </w:r>
            <w:r w:rsidR="003A2D1D">
              <w:rPr>
                <w:rFonts w:ascii="Calibri" w:hAnsi="Calibri" w:cs="Calibri"/>
                <w:color w:val="000000"/>
              </w:rPr>
              <w:t xml:space="preserve"> on a national scale</w:t>
            </w:r>
            <w:r w:rsidR="003C4A8D">
              <w:rPr>
                <w:rFonts w:ascii="Calibri" w:hAnsi="Calibri" w:cs="Calibri"/>
                <w:color w:val="000000"/>
              </w:rPr>
              <w:t>. T</w:t>
            </w:r>
            <w:r w:rsidR="004356AB">
              <w:rPr>
                <w:rFonts w:ascii="Calibri" w:hAnsi="Calibri" w:cs="Calibri"/>
                <w:color w:val="000000"/>
              </w:rPr>
              <w:t xml:space="preserve">he Policy </w:t>
            </w:r>
            <w:r w:rsidR="0095294D">
              <w:rPr>
                <w:rFonts w:ascii="Calibri" w:hAnsi="Calibri" w:cs="Calibri"/>
                <w:color w:val="000000"/>
              </w:rPr>
              <w:t xml:space="preserve">and supporting guidance </w:t>
            </w:r>
            <w:r w:rsidR="004356AB">
              <w:rPr>
                <w:rFonts w:ascii="Calibri" w:hAnsi="Calibri" w:cs="Calibri"/>
                <w:color w:val="000000"/>
              </w:rPr>
              <w:t xml:space="preserve">will be revised </w:t>
            </w:r>
            <w:r w:rsidR="003C4A8D">
              <w:rPr>
                <w:rFonts w:ascii="Calibri" w:hAnsi="Calibri" w:cs="Calibri"/>
                <w:color w:val="000000"/>
              </w:rPr>
              <w:t xml:space="preserve">to reflect </w:t>
            </w:r>
            <w:r w:rsidR="00AA4951">
              <w:rPr>
                <w:rFonts w:ascii="Calibri" w:hAnsi="Calibri" w:cs="Calibri"/>
                <w:color w:val="000000"/>
              </w:rPr>
              <w:t xml:space="preserve">these </w:t>
            </w:r>
            <w:r w:rsidR="00B76D6A">
              <w:rPr>
                <w:rFonts w:ascii="Calibri" w:hAnsi="Calibri" w:cs="Calibri"/>
                <w:color w:val="000000"/>
              </w:rPr>
              <w:t xml:space="preserve">as they evolve. </w:t>
            </w:r>
          </w:p>
        </w:tc>
      </w:tr>
      <w:tr w:rsidR="00B546A7" w14:paraId="7FA994E8" w14:textId="77777777" w:rsidTr="00E159A9">
        <w:trPr>
          <w:cantSplit/>
        </w:trPr>
        <w:tc>
          <w:tcPr>
            <w:tcW w:w="1295" w:type="dxa"/>
          </w:tcPr>
          <w:p w14:paraId="6CEA305D" w14:textId="77777777" w:rsidR="00B546A7" w:rsidRDefault="00B546A7" w:rsidP="00F82097">
            <w:r>
              <w:lastRenderedPageBreak/>
              <w:t>5.8, 5.17</w:t>
            </w:r>
          </w:p>
        </w:tc>
        <w:tc>
          <w:tcPr>
            <w:tcW w:w="2409" w:type="dxa"/>
          </w:tcPr>
          <w:p w14:paraId="2AE5342E" w14:textId="77777777" w:rsidR="00B546A7" w:rsidRDefault="00B546A7" w:rsidP="00F82097">
            <w:r>
              <w:t>Does clause 5.17 encouraging publication to disciplinary repositories contradict clause 5.8 encouraging depositing of research data and records onto University facilities at the conclusion of a project?</w:t>
            </w:r>
          </w:p>
        </w:tc>
        <w:tc>
          <w:tcPr>
            <w:tcW w:w="6220" w:type="dxa"/>
          </w:tcPr>
          <w:p w14:paraId="360F9FDA" w14:textId="77777777" w:rsidR="00B546A7" w:rsidRDefault="00B546A7" w:rsidP="00F82097">
            <w:r>
              <w:t>The intention of these clauses is different. While clause 5.17 concerns data reuse by others, clause 5.8 concerns legal retention obligations.</w:t>
            </w:r>
          </w:p>
          <w:p w14:paraId="1074518E" w14:textId="77777777" w:rsidR="00B546A7" w:rsidRDefault="00B546A7" w:rsidP="00F82097"/>
          <w:p w14:paraId="59696284" w14:textId="77777777" w:rsidR="00B546A7" w:rsidRDefault="00B546A7" w:rsidP="00F82097">
            <w:pPr>
              <w:rPr>
                <w:rStyle w:val="Hyperlink"/>
                <w:bCs/>
                <w:color w:val="000000" w:themeColor="text1"/>
                <w:u w:val="none"/>
              </w:rPr>
            </w:pPr>
            <w:r>
              <w:t xml:space="preserve">Clause 5.8 has been included as it can be extremely difficult for researchers to reliably and securely retain research data or records for the periods legally required by the </w:t>
            </w:r>
            <w:r w:rsidRPr="00E52F90">
              <w:t>Public Records Act 1973 (Vic)</w:t>
            </w:r>
            <w:r>
              <w:t xml:space="preserve"> (these range from 5 years after the completion of the research activity to permanent retention, see </w:t>
            </w:r>
            <w:hyperlink r:id="rId21" w:history="1">
              <w:r w:rsidRPr="00551743">
                <w:rPr>
                  <w:rStyle w:val="Hyperlink"/>
                  <w:i/>
                  <w:iCs/>
                </w:rPr>
                <w:t>University Records Retention and Disposal Authority</w:t>
              </w:r>
            </w:hyperlink>
            <w:r w:rsidRPr="003E00E6">
              <w:rPr>
                <w:rStyle w:val="Hyperlink"/>
                <w:bCs/>
                <w:color w:val="000000" w:themeColor="text1"/>
                <w:u w:val="none"/>
              </w:rPr>
              <w:t>)</w:t>
            </w:r>
            <w:r>
              <w:rPr>
                <w:rStyle w:val="Hyperlink"/>
                <w:bCs/>
                <w:color w:val="000000" w:themeColor="text1"/>
                <w:u w:val="none"/>
              </w:rPr>
              <w:t>.</w:t>
            </w:r>
          </w:p>
          <w:p w14:paraId="3AF5490E" w14:textId="77777777" w:rsidR="00B546A7" w:rsidRPr="00BF2D57" w:rsidRDefault="00B546A7" w:rsidP="00F82097"/>
          <w:p w14:paraId="6F007586" w14:textId="77777777" w:rsidR="00B546A7" w:rsidRDefault="00B546A7" w:rsidP="00F82097">
            <w:r>
              <w:t>The University provides facilities for the reliable and secure long-term retention of research data and records. The intention of this clause is therefore to encourage researchers to pass responsibility to the University so they can be supported in meeting their retention obligations.</w:t>
            </w:r>
          </w:p>
        </w:tc>
      </w:tr>
      <w:tr w:rsidR="00B546A7" w14:paraId="49C91EC7" w14:textId="77777777" w:rsidTr="00E159A9">
        <w:trPr>
          <w:cantSplit/>
        </w:trPr>
        <w:tc>
          <w:tcPr>
            <w:tcW w:w="1295" w:type="dxa"/>
          </w:tcPr>
          <w:p w14:paraId="7BAB1D3D" w14:textId="1772BE90" w:rsidR="00B546A7" w:rsidRDefault="00B546A7" w:rsidP="006D11C9">
            <w:r>
              <w:t>5.10</w:t>
            </w:r>
          </w:p>
        </w:tc>
        <w:tc>
          <w:tcPr>
            <w:tcW w:w="2409" w:type="dxa"/>
          </w:tcPr>
          <w:p w14:paraId="4D0F9138" w14:textId="05A646AA" w:rsidR="00B546A7" w:rsidRDefault="00B546A7" w:rsidP="006D11C9">
            <w:r>
              <w:t xml:space="preserve">What is the </w:t>
            </w:r>
            <w:r w:rsidRPr="004A64C5">
              <w:rPr>
                <w:i/>
                <w:iCs/>
              </w:rPr>
              <w:t xml:space="preserve">University </w:t>
            </w:r>
            <w:r w:rsidR="00B53985">
              <w:rPr>
                <w:i/>
                <w:iCs/>
              </w:rPr>
              <w:t>Research</w:t>
            </w:r>
            <w:r w:rsidRPr="004A64C5">
              <w:rPr>
                <w:i/>
                <w:iCs/>
              </w:rPr>
              <w:t xml:space="preserve"> Data Classification Framework</w:t>
            </w:r>
            <w:r>
              <w:t>?</w:t>
            </w:r>
          </w:p>
        </w:tc>
        <w:tc>
          <w:tcPr>
            <w:tcW w:w="6220" w:type="dxa"/>
          </w:tcPr>
          <w:p w14:paraId="4EEE12F7" w14:textId="3BF3A30D" w:rsidR="00B546A7" w:rsidRDefault="00B546A7" w:rsidP="00AF0750">
            <w:r>
              <w:t xml:space="preserve">The University </w:t>
            </w:r>
            <w:r w:rsidR="001417B5">
              <w:t xml:space="preserve">Research </w:t>
            </w:r>
            <w:r>
              <w:t xml:space="preserve">Data Classification Framework will provide researchers with a mechanism to classify their research data into different categories of sensitivity. For each category, the Framework will indicate processes or security controls that are recommended to adequately protect data based on best practice principles. </w:t>
            </w:r>
          </w:p>
          <w:p w14:paraId="317D0EB3" w14:textId="77777777" w:rsidR="00B546A7" w:rsidRDefault="00B546A7" w:rsidP="006D11C9"/>
          <w:p w14:paraId="1DB43916" w14:textId="30E26D78" w:rsidR="00B546A7" w:rsidRDefault="00B546A7" w:rsidP="006D11C9">
            <w:r>
              <w:t>The Framework aims to help researchers to manage their sensitive research data by distilling the complex ethical and legal frameworks that regulate sensitive research data into an accessible and actionable format.</w:t>
            </w:r>
          </w:p>
          <w:p w14:paraId="3A0A5DFD" w14:textId="77777777" w:rsidR="00B546A7" w:rsidRDefault="00B546A7" w:rsidP="006D11C9"/>
          <w:p w14:paraId="6942FBF7" w14:textId="109A3268" w:rsidR="00B546A7" w:rsidRDefault="00B546A7" w:rsidP="006D11C9">
            <w:r>
              <w:t xml:space="preserve">The Framework is currently being developed by the Sensitive Data Academic Advisory Committee (constituted through the Petascale Campus Initiative), with representation from multiple areas of academic and professional expertise managing sensitive research data. It will be endorsed by the Research Ethics and Integrity Strategy Committee prior to being made available for use. </w:t>
            </w:r>
          </w:p>
        </w:tc>
      </w:tr>
      <w:tr w:rsidR="00B546A7" w14:paraId="6E814D27" w14:textId="77777777" w:rsidTr="00E159A9">
        <w:trPr>
          <w:cantSplit/>
        </w:trPr>
        <w:tc>
          <w:tcPr>
            <w:tcW w:w="1295" w:type="dxa"/>
          </w:tcPr>
          <w:p w14:paraId="439F238B" w14:textId="5A2E00D9" w:rsidR="00B546A7" w:rsidRDefault="00B546A7" w:rsidP="006D11C9">
            <w:r>
              <w:lastRenderedPageBreak/>
              <w:t>5.12</w:t>
            </w:r>
          </w:p>
        </w:tc>
        <w:tc>
          <w:tcPr>
            <w:tcW w:w="2409" w:type="dxa"/>
          </w:tcPr>
          <w:p w14:paraId="27720BBC" w14:textId="43F972F9" w:rsidR="00B546A7" w:rsidRDefault="00B546A7" w:rsidP="006D11C9">
            <w:r>
              <w:t>Is it appropriate to apply the Privacy Policy (including requirements for Privacy Impact Assessments) for the management of personal information in research when human ethics processes cover similar concerns?</w:t>
            </w:r>
          </w:p>
        </w:tc>
        <w:tc>
          <w:tcPr>
            <w:tcW w:w="6220" w:type="dxa"/>
          </w:tcPr>
          <w:p w14:paraId="6B67A0D0" w14:textId="019141CE" w:rsidR="00B546A7" w:rsidRDefault="00B546A7" w:rsidP="006D11C9">
            <w:pPr>
              <w:pStyle w:val="CommentText"/>
              <w:rPr>
                <w:rFonts w:ascii="Calibri" w:hAnsi="Calibri" w:cs="Calibri"/>
                <w:sz w:val="24"/>
                <w:szCs w:val="24"/>
              </w:rPr>
            </w:pPr>
            <w:r>
              <w:rPr>
                <w:rFonts w:ascii="Calibri" w:hAnsi="Calibri" w:cs="Calibri"/>
                <w:sz w:val="24"/>
                <w:szCs w:val="24"/>
              </w:rPr>
              <w:t>The Office of Research Integrity and Ethics and Legal and Risk are currently investigating mechanisms to reduce redundancy in these two processes and ensure researchers have clarity on how to meet their obligations regarding personal information in their research data and records.</w:t>
            </w:r>
          </w:p>
          <w:p w14:paraId="206F140A" w14:textId="6871A8DA" w:rsidR="00B546A7" w:rsidRDefault="00B546A7" w:rsidP="006D11C9">
            <w:pPr>
              <w:pStyle w:val="CommentText"/>
              <w:rPr>
                <w:rFonts w:ascii="Calibri" w:hAnsi="Calibri" w:cs="Calibri"/>
                <w:sz w:val="24"/>
                <w:szCs w:val="24"/>
              </w:rPr>
            </w:pPr>
            <w:r>
              <w:rPr>
                <w:rFonts w:ascii="Calibri" w:hAnsi="Calibri" w:cs="Calibri"/>
                <w:sz w:val="24"/>
                <w:szCs w:val="24"/>
              </w:rPr>
              <w:t>The University’s e</w:t>
            </w:r>
            <w:r w:rsidRPr="00196417">
              <w:rPr>
                <w:rFonts w:ascii="Calibri" w:hAnsi="Calibri" w:cs="Calibri"/>
                <w:sz w:val="24"/>
                <w:szCs w:val="24"/>
              </w:rPr>
              <w:t xml:space="preserve">thics processes </w:t>
            </w:r>
            <w:r>
              <w:rPr>
                <w:rFonts w:ascii="Calibri" w:hAnsi="Calibri" w:cs="Calibri"/>
                <w:sz w:val="24"/>
                <w:szCs w:val="24"/>
              </w:rPr>
              <w:t xml:space="preserve">do not generally </w:t>
            </w:r>
            <w:r w:rsidRPr="00196417">
              <w:rPr>
                <w:rFonts w:ascii="Calibri" w:hAnsi="Calibri" w:cs="Calibri"/>
                <w:sz w:val="24"/>
                <w:szCs w:val="24"/>
              </w:rPr>
              <w:t xml:space="preserve">advise on whether specific platforms are suitable </w:t>
            </w:r>
            <w:r>
              <w:rPr>
                <w:rFonts w:ascii="Calibri" w:hAnsi="Calibri" w:cs="Calibri"/>
                <w:sz w:val="24"/>
                <w:szCs w:val="24"/>
              </w:rPr>
              <w:t>for use with personal information</w:t>
            </w:r>
            <w:r w:rsidRPr="00196417">
              <w:rPr>
                <w:rFonts w:ascii="Calibri" w:hAnsi="Calibri" w:cs="Calibri"/>
                <w:sz w:val="24"/>
                <w:szCs w:val="24"/>
              </w:rPr>
              <w:t xml:space="preserve">. </w:t>
            </w:r>
          </w:p>
          <w:p w14:paraId="5D38FE51" w14:textId="3EEEC112" w:rsidR="00B546A7" w:rsidRPr="003D3345" w:rsidRDefault="00B546A7" w:rsidP="006D11C9">
            <w:pPr>
              <w:pStyle w:val="CommentText"/>
              <w:rPr>
                <w:rFonts w:ascii="Calibri" w:hAnsi="Calibri" w:cs="Calibri"/>
                <w:sz w:val="24"/>
                <w:szCs w:val="24"/>
              </w:rPr>
            </w:pPr>
            <w:r w:rsidRPr="00196417">
              <w:rPr>
                <w:rFonts w:ascii="Calibri" w:hAnsi="Calibri" w:cs="Calibri"/>
                <w:sz w:val="24"/>
                <w:szCs w:val="24"/>
              </w:rPr>
              <w:t>A privacy impact assessment might therefore be appropriate if a researcher is considering the privacy implications of a research platform they want to use or are planning to develop.</w:t>
            </w:r>
          </w:p>
        </w:tc>
      </w:tr>
      <w:tr w:rsidR="00B546A7" w14:paraId="33177641" w14:textId="77777777" w:rsidTr="00E159A9">
        <w:trPr>
          <w:cantSplit/>
        </w:trPr>
        <w:tc>
          <w:tcPr>
            <w:tcW w:w="1295" w:type="dxa"/>
          </w:tcPr>
          <w:p w14:paraId="417F6409" w14:textId="7BC1F1FF" w:rsidR="00B546A7" w:rsidRDefault="00B546A7" w:rsidP="006D11C9">
            <w:r>
              <w:t>5.17</w:t>
            </w:r>
          </w:p>
        </w:tc>
        <w:tc>
          <w:tcPr>
            <w:tcW w:w="2409" w:type="dxa"/>
          </w:tcPr>
          <w:p w14:paraId="26758DA4" w14:textId="4F12C22C" w:rsidR="00B546A7" w:rsidRDefault="00B546A7" w:rsidP="006D11C9">
            <w:r>
              <w:t xml:space="preserve">Is it appropriate to state all researchers are encouraged to publish their research data or should this clause defer to current disciplinary norms (where publication of research data and records may not be standard)?  </w:t>
            </w:r>
          </w:p>
        </w:tc>
        <w:tc>
          <w:tcPr>
            <w:tcW w:w="6220" w:type="dxa"/>
          </w:tcPr>
          <w:p w14:paraId="27D4ACA8" w14:textId="2B8839F1" w:rsidR="00B546A7" w:rsidRDefault="00B546A7" w:rsidP="000026D4">
            <w:r>
              <w:t xml:space="preserve">This clause has been included to encompass the growing emphasis from funders and publishers internationally to maximise the reuse potential of </w:t>
            </w:r>
            <w:proofErr w:type="gramStart"/>
            <w:r>
              <w:t>publicly-funded</w:t>
            </w:r>
            <w:proofErr w:type="gramEnd"/>
            <w:r>
              <w:t xml:space="preserve"> research data.</w:t>
            </w:r>
          </w:p>
          <w:p w14:paraId="4D2AC53B" w14:textId="77777777" w:rsidR="00B546A7" w:rsidRDefault="00B546A7" w:rsidP="000026D4"/>
          <w:p w14:paraId="4D1C61EE" w14:textId="5C45781D" w:rsidR="00B546A7" w:rsidRDefault="00B546A7" w:rsidP="000026D4">
            <w:r>
              <w:t>In Australia, both the ARC and NHMRC encourage more open sharing of research data</w:t>
            </w:r>
            <w:r>
              <w:rPr>
                <w:rStyle w:val="FootnoteReference"/>
              </w:rPr>
              <w:footnoteReference w:id="3"/>
            </w:r>
            <w:r w:rsidRPr="00475B99">
              <w:rPr>
                <w:sz w:val="32"/>
                <w:szCs w:val="32"/>
                <w:vertAlign w:val="superscript"/>
              </w:rPr>
              <w:t>,</w:t>
            </w:r>
            <w:r>
              <w:rPr>
                <w:rStyle w:val="FootnoteReference"/>
              </w:rPr>
              <w:footnoteReference w:id="4"/>
            </w:r>
            <w:r>
              <w:t xml:space="preserve">. The University has also recently endorsed </w:t>
            </w:r>
            <w:hyperlink r:id="rId22" w:history="1">
              <w:r w:rsidRPr="00B36826">
                <w:rPr>
                  <w:rStyle w:val="Hyperlink"/>
                </w:rPr>
                <w:t>Principles for Open Access to Research Outputs</w:t>
              </w:r>
            </w:hyperlink>
            <w:r>
              <w:t>, which similarly encourages the sharing of research data in line with principle 8.</w:t>
            </w:r>
          </w:p>
          <w:p w14:paraId="22D462A5" w14:textId="77777777" w:rsidR="00B546A7" w:rsidRDefault="00B546A7" w:rsidP="000026D4"/>
          <w:p w14:paraId="06C79E7B" w14:textId="1AA459EF" w:rsidR="00B546A7" w:rsidRDefault="00B546A7" w:rsidP="006D11C9">
            <w:r>
              <w:t xml:space="preserve">We acknowledge that disciplinary norms differ significantly regarding publication and reuse of research data. This clause recommends instead of enforces data publication, acknowledging that even in the absence of specific legal or ethical requirements preventing data publication, that data publication may not be appropriate for all research. </w:t>
            </w:r>
          </w:p>
        </w:tc>
      </w:tr>
      <w:tr w:rsidR="00B546A7" w14:paraId="336CFCFF" w14:textId="77777777" w:rsidTr="00E159A9">
        <w:trPr>
          <w:cantSplit/>
        </w:trPr>
        <w:tc>
          <w:tcPr>
            <w:tcW w:w="1295" w:type="dxa"/>
          </w:tcPr>
          <w:p w14:paraId="1A57059D" w14:textId="3F5DE818" w:rsidR="00B546A7" w:rsidRDefault="00B546A7" w:rsidP="000026D4">
            <w:r>
              <w:lastRenderedPageBreak/>
              <w:t>5.17</w:t>
            </w:r>
          </w:p>
        </w:tc>
        <w:tc>
          <w:tcPr>
            <w:tcW w:w="2409" w:type="dxa"/>
          </w:tcPr>
          <w:p w14:paraId="01ACBDF6" w14:textId="62506562" w:rsidR="00B546A7" w:rsidRDefault="00B546A7" w:rsidP="000026D4">
            <w:r>
              <w:t>Why have the FAIR principles (Findable, Accessible, Interoperable, Reusable) only been used in the context of data publication and not throughout the document?</w:t>
            </w:r>
          </w:p>
        </w:tc>
        <w:tc>
          <w:tcPr>
            <w:tcW w:w="6220" w:type="dxa"/>
          </w:tcPr>
          <w:p w14:paraId="742322CE" w14:textId="1BFB9B0A" w:rsidR="00B546A7" w:rsidRDefault="00B546A7" w:rsidP="00DB6C3B">
            <w:r>
              <w:t>The FAIR principles were developed in the context of data sharing and reuse and have become widely accepted as a guiding framework for these activities internationally. We recognise the value of applying FAIR principles to research data and records in these contexts.</w:t>
            </w:r>
          </w:p>
          <w:p w14:paraId="7721D07B" w14:textId="77777777" w:rsidR="00B546A7" w:rsidRDefault="00B546A7" w:rsidP="00DB6C3B"/>
          <w:p w14:paraId="03581946" w14:textId="4C6FF564" w:rsidR="00B546A7" w:rsidRDefault="00B546A7" w:rsidP="00DB6C3B">
            <w:r>
              <w:t xml:space="preserve">Data accessibility is referred to in clause policy statement 4.1 (b) and underscores all subsequent procedural principles. Accessibility as a principle is critical to enable for a broad range of important processes related to research findings, e.g., defence of authorship, defence of research integrity, research commercialisation (which requires confirmation of intellectual property ownership and priority date claims for patents). </w:t>
            </w:r>
          </w:p>
          <w:p w14:paraId="35512779" w14:textId="77777777" w:rsidR="00B546A7" w:rsidRDefault="00B546A7" w:rsidP="00DB6C3B"/>
          <w:p w14:paraId="7E971678" w14:textId="37E5D41A" w:rsidR="00B546A7" w:rsidRDefault="00B546A7" w:rsidP="00922C29">
            <w:r>
              <w:t>Findability, interoperability and reusability are more specifically/inherently related to reuse.</w:t>
            </w:r>
          </w:p>
          <w:p w14:paraId="0010D3C5" w14:textId="77777777" w:rsidR="00B546A7" w:rsidRDefault="00B546A7" w:rsidP="00922C29"/>
          <w:p w14:paraId="5B003E90" w14:textId="00582C41" w:rsidR="00B546A7" w:rsidRDefault="00B546A7" w:rsidP="000026D4">
            <w:r>
              <w:t xml:space="preserve">As the research impact and value of data reuse varies greatly between disciplines or for different types of research data, we believe that framing the whole policy around the FAIR principles is unnecessarily onerous for some research communities. </w:t>
            </w:r>
          </w:p>
        </w:tc>
      </w:tr>
    </w:tbl>
    <w:p w14:paraId="479F95D4" w14:textId="77777777" w:rsidR="00A938A9" w:rsidRDefault="00A938A9" w:rsidP="00AD4795"/>
    <w:p w14:paraId="4D641BB5" w14:textId="76CD06BA" w:rsidR="0A1D1CE0" w:rsidRDefault="0A1D1CE0" w:rsidP="0A1D1CE0"/>
    <w:p w14:paraId="4E93224A" w14:textId="6D78CA97" w:rsidR="0A1D1CE0" w:rsidRDefault="0A1D1CE0" w:rsidP="0A1D1CE0"/>
    <w:sectPr w:rsidR="0A1D1CE0" w:rsidSect="00615899">
      <w:headerReference w:type="even" r:id="rId23"/>
      <w:headerReference w:type="default" r:id="rId24"/>
      <w:footerReference w:type="default" r:id="rId25"/>
      <w:headerReference w:type="first" r:id="rId26"/>
      <w:pgSz w:w="11900" w:h="16840"/>
      <w:pgMar w:top="86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B8E48" w14:textId="77777777" w:rsidR="00E31903" w:rsidRDefault="00E31903" w:rsidP="00475B99">
      <w:r>
        <w:separator/>
      </w:r>
    </w:p>
  </w:endnote>
  <w:endnote w:type="continuationSeparator" w:id="0">
    <w:p w14:paraId="7429D865" w14:textId="77777777" w:rsidR="00E31903" w:rsidRDefault="00E31903" w:rsidP="00475B99">
      <w:r>
        <w:continuationSeparator/>
      </w:r>
    </w:p>
  </w:endnote>
  <w:endnote w:type="continuationNotice" w:id="1">
    <w:p w14:paraId="5F98B08A" w14:textId="77777777" w:rsidR="00E31903" w:rsidRDefault="00E319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3CDA2" w14:textId="18622973" w:rsidR="00FD7721" w:rsidRDefault="00FD7721" w:rsidP="00FD7721">
    <w:pPr>
      <w:pStyle w:val="Footer"/>
      <w:rPr>
        <w:sz w:val="18"/>
        <w:szCs w:val="18"/>
      </w:rPr>
    </w:pPr>
    <w:r>
      <w:rPr>
        <w:sz w:val="18"/>
        <w:szCs w:val="18"/>
      </w:rPr>
      <w:t>Management of Research Data</w:t>
    </w:r>
    <w:r w:rsidR="00DD0032">
      <w:rPr>
        <w:sz w:val="18"/>
        <w:szCs w:val="18"/>
      </w:rPr>
      <w:t xml:space="preserve"> and Records (MPF1242) – Consultation Draft </w:t>
    </w:r>
    <w:r w:rsidR="00E66FFD">
      <w:rPr>
        <w:sz w:val="18"/>
        <w:szCs w:val="18"/>
      </w:rPr>
      <w:t>March 2021</w:t>
    </w:r>
  </w:p>
  <w:p w14:paraId="559776B5" w14:textId="444CB12B" w:rsidR="00DD0032" w:rsidRPr="00DD0032" w:rsidRDefault="00DD0032" w:rsidP="00FD7721">
    <w:pPr>
      <w:pStyle w:val="Footer"/>
      <w:rPr>
        <w:sz w:val="18"/>
        <w:szCs w:val="18"/>
      </w:rPr>
    </w:pPr>
    <w:r>
      <w:rPr>
        <w:i/>
        <w:iCs/>
        <w:sz w:val="18"/>
        <w:szCs w:val="18"/>
      </w:rPr>
      <w:t>Appendix – Frequently Asked Questions</w:t>
    </w:r>
  </w:p>
  <w:p w14:paraId="65723EFF" w14:textId="6E4512EC" w:rsidR="002F77F4" w:rsidRPr="00FD7721" w:rsidRDefault="00FD7721" w:rsidP="00FD7721">
    <w:pPr>
      <w:pStyle w:val="Footer"/>
      <w:jc w:val="right"/>
      <w:rPr>
        <w:sz w:val="18"/>
        <w:szCs w:val="18"/>
      </w:rPr>
    </w:pPr>
    <w:r w:rsidRPr="00C40053">
      <w:rPr>
        <w:sz w:val="18"/>
        <w:szCs w:val="18"/>
      </w:rPr>
      <w:t xml:space="preserve">Page </w:t>
    </w:r>
    <w:r w:rsidRPr="00C40053">
      <w:rPr>
        <w:bCs/>
        <w:sz w:val="18"/>
        <w:szCs w:val="18"/>
      </w:rPr>
      <w:fldChar w:fldCharType="begin"/>
    </w:r>
    <w:r w:rsidRPr="00C40053">
      <w:rPr>
        <w:bCs/>
        <w:sz w:val="18"/>
        <w:szCs w:val="18"/>
      </w:rPr>
      <w:instrText xml:space="preserve"> PAGE  \* Arabic  \* MERGEFORMAT </w:instrText>
    </w:r>
    <w:r w:rsidRPr="00C40053">
      <w:rPr>
        <w:bCs/>
        <w:sz w:val="18"/>
        <w:szCs w:val="18"/>
      </w:rPr>
      <w:fldChar w:fldCharType="separate"/>
    </w:r>
    <w:r>
      <w:rPr>
        <w:bCs/>
        <w:sz w:val="18"/>
        <w:szCs w:val="18"/>
      </w:rPr>
      <w:t>1</w:t>
    </w:r>
    <w:r w:rsidRPr="00C40053">
      <w:rPr>
        <w:bCs/>
        <w:sz w:val="18"/>
        <w:szCs w:val="18"/>
      </w:rPr>
      <w:fldChar w:fldCharType="end"/>
    </w:r>
    <w:r w:rsidRPr="00C40053">
      <w:rPr>
        <w:sz w:val="18"/>
        <w:szCs w:val="18"/>
      </w:rPr>
      <w:t xml:space="preserve"> of </w:t>
    </w:r>
    <w:r w:rsidRPr="00C40053">
      <w:rPr>
        <w:bCs/>
        <w:sz w:val="18"/>
        <w:szCs w:val="18"/>
      </w:rPr>
      <w:fldChar w:fldCharType="begin"/>
    </w:r>
    <w:r w:rsidRPr="00C40053">
      <w:rPr>
        <w:bCs/>
        <w:sz w:val="18"/>
        <w:szCs w:val="18"/>
      </w:rPr>
      <w:instrText xml:space="preserve"> NUMPAGES  \* Arabic  \* MERGEFORMAT </w:instrText>
    </w:r>
    <w:r w:rsidRPr="00C40053">
      <w:rPr>
        <w:bCs/>
        <w:sz w:val="18"/>
        <w:szCs w:val="18"/>
      </w:rPr>
      <w:fldChar w:fldCharType="separate"/>
    </w:r>
    <w:r>
      <w:rPr>
        <w:bCs/>
        <w:sz w:val="18"/>
        <w:szCs w:val="18"/>
      </w:rPr>
      <w:t>4</w:t>
    </w:r>
    <w:r w:rsidRPr="00C40053">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859B5" w14:textId="77777777" w:rsidR="00E31903" w:rsidRDefault="00E31903" w:rsidP="00475B99">
      <w:r>
        <w:separator/>
      </w:r>
    </w:p>
  </w:footnote>
  <w:footnote w:type="continuationSeparator" w:id="0">
    <w:p w14:paraId="3427C2C9" w14:textId="77777777" w:rsidR="00E31903" w:rsidRDefault="00E31903" w:rsidP="00475B99">
      <w:r>
        <w:continuationSeparator/>
      </w:r>
    </w:p>
  </w:footnote>
  <w:footnote w:type="continuationNotice" w:id="1">
    <w:p w14:paraId="656A3AD6" w14:textId="77777777" w:rsidR="00E31903" w:rsidRDefault="00E31903"/>
  </w:footnote>
  <w:footnote w:id="2">
    <w:p w14:paraId="60577E16" w14:textId="1BD6E4FC" w:rsidR="004D48C5" w:rsidRPr="001319E2" w:rsidRDefault="004D48C5">
      <w:pPr>
        <w:pStyle w:val="FootnoteText"/>
      </w:pPr>
      <w:r>
        <w:rPr>
          <w:rStyle w:val="FootnoteReference"/>
        </w:rPr>
        <w:footnoteRef/>
      </w:r>
      <w:r w:rsidR="002E0383">
        <w:t xml:space="preserve"> </w:t>
      </w:r>
      <w:hyperlink r:id="rId1" w:history="1">
        <w:r w:rsidR="00943F82" w:rsidRPr="00EC3D5A">
          <w:rPr>
            <w:rStyle w:val="Hyperlink"/>
          </w:rPr>
          <w:t>https://www.nhmrc.gov.au/sites/default/files/documents/attachments/Management-of-Data-and-Information-in-Research.pdf</w:t>
        </w:r>
      </w:hyperlink>
      <w:r w:rsidR="00943F82">
        <w:t xml:space="preserve"> </w:t>
      </w:r>
    </w:p>
  </w:footnote>
  <w:footnote w:id="3">
    <w:p w14:paraId="2F1D2289" w14:textId="49456B6C" w:rsidR="00B546A7" w:rsidRDefault="00B546A7">
      <w:pPr>
        <w:pStyle w:val="FootnoteText"/>
      </w:pPr>
      <w:r>
        <w:rPr>
          <w:rStyle w:val="FootnoteReference"/>
        </w:rPr>
        <w:footnoteRef/>
      </w:r>
      <w:r>
        <w:t xml:space="preserve"> </w:t>
      </w:r>
      <w:r w:rsidRPr="00885A72">
        <w:t>https://www.arc.gov.au/policies-strategies/strategy/research-data-management</w:t>
      </w:r>
    </w:p>
  </w:footnote>
  <w:footnote w:id="4">
    <w:p w14:paraId="4F26455B" w14:textId="49F0CAD8" w:rsidR="00B546A7" w:rsidRDefault="00B546A7">
      <w:pPr>
        <w:pStyle w:val="FootnoteText"/>
      </w:pPr>
      <w:r>
        <w:rPr>
          <w:rStyle w:val="FootnoteReference"/>
        </w:rPr>
        <w:footnoteRef/>
      </w:r>
      <w:r>
        <w:t xml:space="preserve"> </w:t>
      </w:r>
      <w:r w:rsidRPr="00885A72">
        <w:t>https://www.nhmrc.gov.au/about-us/resources/open-access-policy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61B07B" w14:textId="69AAF205" w:rsidR="001D5211" w:rsidRDefault="00FE76BD">
    <w:pPr>
      <w:pStyle w:val="Header"/>
    </w:pPr>
    <w:r>
      <w:rPr>
        <w:noProof/>
      </w:rPr>
      <w:pict w14:anchorId="5E139C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542535" o:spid="_x0000_s10243"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6D95A" w14:textId="6EE674E7" w:rsidR="00973495" w:rsidRDefault="00FE76BD" w:rsidP="00973495">
    <w:pPr>
      <w:pStyle w:val="Header"/>
      <w:jc w:val="right"/>
    </w:pPr>
    <w:r>
      <w:rPr>
        <w:noProof/>
      </w:rPr>
      <w:pict w14:anchorId="1A1FB4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542536" o:spid="_x0000_s10242" type="#_x0000_t136" alt="" style="position:absolute;left:0;text-align:left;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r w:rsidR="00973495">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3D80B" w14:textId="318D29ED" w:rsidR="001D5211" w:rsidRDefault="00FE76BD">
    <w:pPr>
      <w:pStyle w:val="Header"/>
    </w:pPr>
    <w:r>
      <w:rPr>
        <w:noProof/>
      </w:rPr>
      <w:pict w14:anchorId="0F8E2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542534" o:spid="_x0000_s10241"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70C22"/>
    <w:multiLevelType w:val="multilevel"/>
    <w:tmpl w:val="CF324C0E"/>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lowerLetter"/>
      <w:lvlText w:val="(%3)"/>
      <w:lvlJc w:val="left"/>
      <w:pPr>
        <w:ind w:left="1080" w:hanging="360"/>
      </w:pPr>
      <w:rPr>
        <w:rFonts w:hint="default"/>
        <w:b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8F93B9F"/>
    <w:multiLevelType w:val="hybridMultilevel"/>
    <w:tmpl w:val="0D688A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3C4B1D"/>
    <w:multiLevelType w:val="hybridMultilevel"/>
    <w:tmpl w:val="4A341CB0"/>
    <w:lvl w:ilvl="0" w:tplc="FA2C289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7E08BF"/>
    <w:multiLevelType w:val="hybridMultilevel"/>
    <w:tmpl w:val="9502E50E"/>
    <w:lvl w:ilvl="0" w:tplc="64125DF2">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9006BC"/>
    <w:multiLevelType w:val="hybridMultilevel"/>
    <w:tmpl w:val="3AF8A622"/>
    <w:lvl w:ilvl="0" w:tplc="F37C94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7841FF"/>
    <w:multiLevelType w:val="hybridMultilevel"/>
    <w:tmpl w:val="CDA2773A"/>
    <w:lvl w:ilvl="0" w:tplc="F6E2CCEA">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10244"/>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F5E"/>
    <w:rsid w:val="00000854"/>
    <w:rsid w:val="000008B5"/>
    <w:rsid w:val="000026D4"/>
    <w:rsid w:val="00002EF3"/>
    <w:rsid w:val="00005D8E"/>
    <w:rsid w:val="000115EF"/>
    <w:rsid w:val="00014562"/>
    <w:rsid w:val="00015CCB"/>
    <w:rsid w:val="00015D2B"/>
    <w:rsid w:val="00015F7C"/>
    <w:rsid w:val="0002237A"/>
    <w:rsid w:val="000238A9"/>
    <w:rsid w:val="00024472"/>
    <w:rsid w:val="00030969"/>
    <w:rsid w:val="00031DB2"/>
    <w:rsid w:val="00042C65"/>
    <w:rsid w:val="00043942"/>
    <w:rsid w:val="000459E0"/>
    <w:rsid w:val="00047B7B"/>
    <w:rsid w:val="00070211"/>
    <w:rsid w:val="00074B00"/>
    <w:rsid w:val="0008312F"/>
    <w:rsid w:val="000879F0"/>
    <w:rsid w:val="00090CD3"/>
    <w:rsid w:val="00092612"/>
    <w:rsid w:val="000926FC"/>
    <w:rsid w:val="00093799"/>
    <w:rsid w:val="00096BE2"/>
    <w:rsid w:val="00097D04"/>
    <w:rsid w:val="000A00A6"/>
    <w:rsid w:val="000A0222"/>
    <w:rsid w:val="000A4AE1"/>
    <w:rsid w:val="000B1F80"/>
    <w:rsid w:val="000B5DE2"/>
    <w:rsid w:val="000C1D1D"/>
    <w:rsid w:val="000C3FC6"/>
    <w:rsid w:val="000C4F5C"/>
    <w:rsid w:val="000C5585"/>
    <w:rsid w:val="000C5677"/>
    <w:rsid w:val="000D3930"/>
    <w:rsid w:val="000D5D6B"/>
    <w:rsid w:val="000E2149"/>
    <w:rsid w:val="000E31B7"/>
    <w:rsid w:val="000E654C"/>
    <w:rsid w:val="000F0A6C"/>
    <w:rsid w:val="000F363D"/>
    <w:rsid w:val="000F7417"/>
    <w:rsid w:val="0010522E"/>
    <w:rsid w:val="00105312"/>
    <w:rsid w:val="00106091"/>
    <w:rsid w:val="00110F0A"/>
    <w:rsid w:val="00114A56"/>
    <w:rsid w:val="00116B98"/>
    <w:rsid w:val="00123C72"/>
    <w:rsid w:val="00127C56"/>
    <w:rsid w:val="001319E2"/>
    <w:rsid w:val="00134107"/>
    <w:rsid w:val="001416DE"/>
    <w:rsid w:val="001417B5"/>
    <w:rsid w:val="00141950"/>
    <w:rsid w:val="00143A26"/>
    <w:rsid w:val="00144360"/>
    <w:rsid w:val="00145182"/>
    <w:rsid w:val="00145652"/>
    <w:rsid w:val="001474B5"/>
    <w:rsid w:val="001478C6"/>
    <w:rsid w:val="00171618"/>
    <w:rsid w:val="00171F12"/>
    <w:rsid w:val="00173217"/>
    <w:rsid w:val="00190415"/>
    <w:rsid w:val="00194D00"/>
    <w:rsid w:val="00195EF7"/>
    <w:rsid w:val="00196417"/>
    <w:rsid w:val="00197858"/>
    <w:rsid w:val="001A2472"/>
    <w:rsid w:val="001A2550"/>
    <w:rsid w:val="001A4F93"/>
    <w:rsid w:val="001A697D"/>
    <w:rsid w:val="001B42F2"/>
    <w:rsid w:val="001C5F9D"/>
    <w:rsid w:val="001D5211"/>
    <w:rsid w:val="001D716B"/>
    <w:rsid w:val="001E0FE7"/>
    <w:rsid w:val="001E1249"/>
    <w:rsid w:val="001E28E5"/>
    <w:rsid w:val="001E68FC"/>
    <w:rsid w:val="001E6A0E"/>
    <w:rsid w:val="001F24C6"/>
    <w:rsid w:val="001F350E"/>
    <w:rsid w:val="00201FAE"/>
    <w:rsid w:val="002029E5"/>
    <w:rsid w:val="0020327D"/>
    <w:rsid w:val="00214E20"/>
    <w:rsid w:val="00216BC6"/>
    <w:rsid w:val="00220395"/>
    <w:rsid w:val="00224F14"/>
    <w:rsid w:val="002335C0"/>
    <w:rsid w:val="00233C0A"/>
    <w:rsid w:val="00236444"/>
    <w:rsid w:val="0024577C"/>
    <w:rsid w:val="00253FDA"/>
    <w:rsid w:val="002541E7"/>
    <w:rsid w:val="00255B53"/>
    <w:rsid w:val="00256BB4"/>
    <w:rsid w:val="002603DC"/>
    <w:rsid w:val="00263F76"/>
    <w:rsid w:val="002648EB"/>
    <w:rsid w:val="00264C9C"/>
    <w:rsid w:val="00265A73"/>
    <w:rsid w:val="0027055D"/>
    <w:rsid w:val="00272C32"/>
    <w:rsid w:val="00275671"/>
    <w:rsid w:val="00277378"/>
    <w:rsid w:val="002847EC"/>
    <w:rsid w:val="002908B0"/>
    <w:rsid w:val="00293F46"/>
    <w:rsid w:val="0029589C"/>
    <w:rsid w:val="002973F4"/>
    <w:rsid w:val="0029742F"/>
    <w:rsid w:val="002A2069"/>
    <w:rsid w:val="002A2B15"/>
    <w:rsid w:val="002A34EB"/>
    <w:rsid w:val="002A3EA6"/>
    <w:rsid w:val="002A4A71"/>
    <w:rsid w:val="002A52F4"/>
    <w:rsid w:val="002B2E9E"/>
    <w:rsid w:val="002B5621"/>
    <w:rsid w:val="002B6A9C"/>
    <w:rsid w:val="002C15E2"/>
    <w:rsid w:val="002C24B6"/>
    <w:rsid w:val="002C4E18"/>
    <w:rsid w:val="002D2307"/>
    <w:rsid w:val="002D392C"/>
    <w:rsid w:val="002D515E"/>
    <w:rsid w:val="002E0383"/>
    <w:rsid w:val="002E0ED8"/>
    <w:rsid w:val="002E61A6"/>
    <w:rsid w:val="002E6ED9"/>
    <w:rsid w:val="002F1813"/>
    <w:rsid w:val="002F369F"/>
    <w:rsid w:val="002F77F4"/>
    <w:rsid w:val="003050D6"/>
    <w:rsid w:val="00306482"/>
    <w:rsid w:val="00307E2F"/>
    <w:rsid w:val="00314417"/>
    <w:rsid w:val="003163BA"/>
    <w:rsid w:val="00321EE9"/>
    <w:rsid w:val="0032392E"/>
    <w:rsid w:val="0032711F"/>
    <w:rsid w:val="00333C6B"/>
    <w:rsid w:val="00334D12"/>
    <w:rsid w:val="003353C9"/>
    <w:rsid w:val="00337659"/>
    <w:rsid w:val="00340EB3"/>
    <w:rsid w:val="00342EDB"/>
    <w:rsid w:val="003448E6"/>
    <w:rsid w:val="00350E09"/>
    <w:rsid w:val="003530BC"/>
    <w:rsid w:val="00364BF1"/>
    <w:rsid w:val="003714BF"/>
    <w:rsid w:val="00375AC9"/>
    <w:rsid w:val="00376FB2"/>
    <w:rsid w:val="0038706E"/>
    <w:rsid w:val="00394B09"/>
    <w:rsid w:val="00396795"/>
    <w:rsid w:val="003978EE"/>
    <w:rsid w:val="003A20F5"/>
    <w:rsid w:val="003A2D1D"/>
    <w:rsid w:val="003A2EF6"/>
    <w:rsid w:val="003A3017"/>
    <w:rsid w:val="003A3269"/>
    <w:rsid w:val="003A762B"/>
    <w:rsid w:val="003C0723"/>
    <w:rsid w:val="003C479B"/>
    <w:rsid w:val="003C4A8D"/>
    <w:rsid w:val="003C7395"/>
    <w:rsid w:val="003D2A69"/>
    <w:rsid w:val="003D3345"/>
    <w:rsid w:val="003D76AD"/>
    <w:rsid w:val="003E00E6"/>
    <w:rsid w:val="003E1164"/>
    <w:rsid w:val="003F2077"/>
    <w:rsid w:val="003F5EC7"/>
    <w:rsid w:val="003F7288"/>
    <w:rsid w:val="003F7FEB"/>
    <w:rsid w:val="00403CCD"/>
    <w:rsid w:val="0041038F"/>
    <w:rsid w:val="0042175C"/>
    <w:rsid w:val="004244FD"/>
    <w:rsid w:val="004270E1"/>
    <w:rsid w:val="00431627"/>
    <w:rsid w:val="00432759"/>
    <w:rsid w:val="00434220"/>
    <w:rsid w:val="0043431A"/>
    <w:rsid w:val="004343E8"/>
    <w:rsid w:val="00434927"/>
    <w:rsid w:val="004356AB"/>
    <w:rsid w:val="00441037"/>
    <w:rsid w:val="00446F46"/>
    <w:rsid w:val="004476AA"/>
    <w:rsid w:val="004479F0"/>
    <w:rsid w:val="00453CC1"/>
    <w:rsid w:val="00456317"/>
    <w:rsid w:val="0045696A"/>
    <w:rsid w:val="00457CB2"/>
    <w:rsid w:val="00457F12"/>
    <w:rsid w:val="00462C06"/>
    <w:rsid w:val="004633B8"/>
    <w:rsid w:val="00463DE2"/>
    <w:rsid w:val="00466B89"/>
    <w:rsid w:val="00472A7A"/>
    <w:rsid w:val="00472BE8"/>
    <w:rsid w:val="004733DC"/>
    <w:rsid w:val="00474C00"/>
    <w:rsid w:val="00475B99"/>
    <w:rsid w:val="00482DB8"/>
    <w:rsid w:val="00487D31"/>
    <w:rsid w:val="00490202"/>
    <w:rsid w:val="004955F4"/>
    <w:rsid w:val="00497015"/>
    <w:rsid w:val="004971AD"/>
    <w:rsid w:val="00497BB2"/>
    <w:rsid w:val="00497FE1"/>
    <w:rsid w:val="004A1891"/>
    <w:rsid w:val="004A2555"/>
    <w:rsid w:val="004A58C4"/>
    <w:rsid w:val="004A5C43"/>
    <w:rsid w:val="004A64C5"/>
    <w:rsid w:val="004B2D03"/>
    <w:rsid w:val="004B2E50"/>
    <w:rsid w:val="004B4AAA"/>
    <w:rsid w:val="004B62D6"/>
    <w:rsid w:val="004B64DD"/>
    <w:rsid w:val="004B6809"/>
    <w:rsid w:val="004B6AEE"/>
    <w:rsid w:val="004B7AAE"/>
    <w:rsid w:val="004C53E9"/>
    <w:rsid w:val="004C5B91"/>
    <w:rsid w:val="004C5FF3"/>
    <w:rsid w:val="004D12C8"/>
    <w:rsid w:val="004D1F6C"/>
    <w:rsid w:val="004D48C5"/>
    <w:rsid w:val="004E048E"/>
    <w:rsid w:val="004E4E7F"/>
    <w:rsid w:val="004F1D05"/>
    <w:rsid w:val="004F4743"/>
    <w:rsid w:val="005002B6"/>
    <w:rsid w:val="0050328F"/>
    <w:rsid w:val="00504922"/>
    <w:rsid w:val="005078B1"/>
    <w:rsid w:val="00511493"/>
    <w:rsid w:val="005123EE"/>
    <w:rsid w:val="0051346B"/>
    <w:rsid w:val="00515A0C"/>
    <w:rsid w:val="005211BD"/>
    <w:rsid w:val="00523620"/>
    <w:rsid w:val="00524622"/>
    <w:rsid w:val="00526C3E"/>
    <w:rsid w:val="00527088"/>
    <w:rsid w:val="005278D8"/>
    <w:rsid w:val="00530C72"/>
    <w:rsid w:val="005311FC"/>
    <w:rsid w:val="005321D1"/>
    <w:rsid w:val="00532738"/>
    <w:rsid w:val="0053450D"/>
    <w:rsid w:val="00535081"/>
    <w:rsid w:val="005366E5"/>
    <w:rsid w:val="005447A8"/>
    <w:rsid w:val="00544F40"/>
    <w:rsid w:val="005521B9"/>
    <w:rsid w:val="005562F6"/>
    <w:rsid w:val="0055743B"/>
    <w:rsid w:val="0056101D"/>
    <w:rsid w:val="00565430"/>
    <w:rsid w:val="005745B9"/>
    <w:rsid w:val="005750C5"/>
    <w:rsid w:val="00582663"/>
    <w:rsid w:val="00582C1C"/>
    <w:rsid w:val="00590524"/>
    <w:rsid w:val="00591B3A"/>
    <w:rsid w:val="00596167"/>
    <w:rsid w:val="00597BFE"/>
    <w:rsid w:val="005A4958"/>
    <w:rsid w:val="005B1C90"/>
    <w:rsid w:val="005B2BE8"/>
    <w:rsid w:val="005B62F6"/>
    <w:rsid w:val="005C570B"/>
    <w:rsid w:val="005D1F5A"/>
    <w:rsid w:val="005D2E99"/>
    <w:rsid w:val="005D79C4"/>
    <w:rsid w:val="005E0AA7"/>
    <w:rsid w:val="005E152E"/>
    <w:rsid w:val="005E2FF4"/>
    <w:rsid w:val="005E334C"/>
    <w:rsid w:val="005E418A"/>
    <w:rsid w:val="005E69DD"/>
    <w:rsid w:val="005F3BCC"/>
    <w:rsid w:val="005F53D2"/>
    <w:rsid w:val="005F6BE0"/>
    <w:rsid w:val="00605DC0"/>
    <w:rsid w:val="00607298"/>
    <w:rsid w:val="0061321F"/>
    <w:rsid w:val="00613D1A"/>
    <w:rsid w:val="00615899"/>
    <w:rsid w:val="00615E73"/>
    <w:rsid w:val="0062035A"/>
    <w:rsid w:val="006203B5"/>
    <w:rsid w:val="00620B89"/>
    <w:rsid w:val="00620DE3"/>
    <w:rsid w:val="0062151E"/>
    <w:rsid w:val="00622669"/>
    <w:rsid w:val="006258E3"/>
    <w:rsid w:val="00631801"/>
    <w:rsid w:val="00634B2A"/>
    <w:rsid w:val="00641315"/>
    <w:rsid w:val="006435D9"/>
    <w:rsid w:val="00643D3D"/>
    <w:rsid w:val="006539C5"/>
    <w:rsid w:val="00653FE6"/>
    <w:rsid w:val="00655F6E"/>
    <w:rsid w:val="00666F8B"/>
    <w:rsid w:val="00672B82"/>
    <w:rsid w:val="00673A93"/>
    <w:rsid w:val="006818E9"/>
    <w:rsid w:val="00681CFB"/>
    <w:rsid w:val="00682147"/>
    <w:rsid w:val="00694F99"/>
    <w:rsid w:val="006A0653"/>
    <w:rsid w:val="006A1086"/>
    <w:rsid w:val="006A5118"/>
    <w:rsid w:val="006A5437"/>
    <w:rsid w:val="006A73E5"/>
    <w:rsid w:val="006B1D82"/>
    <w:rsid w:val="006C733D"/>
    <w:rsid w:val="006C7EBB"/>
    <w:rsid w:val="006D11C9"/>
    <w:rsid w:val="006D3E95"/>
    <w:rsid w:val="006D5212"/>
    <w:rsid w:val="006D5499"/>
    <w:rsid w:val="006F5F1A"/>
    <w:rsid w:val="006F6A8E"/>
    <w:rsid w:val="007021CF"/>
    <w:rsid w:val="007028F9"/>
    <w:rsid w:val="00703F91"/>
    <w:rsid w:val="00704363"/>
    <w:rsid w:val="00710CEC"/>
    <w:rsid w:val="00714BED"/>
    <w:rsid w:val="00725B82"/>
    <w:rsid w:val="00727238"/>
    <w:rsid w:val="00730875"/>
    <w:rsid w:val="00732675"/>
    <w:rsid w:val="00734DD0"/>
    <w:rsid w:val="00740BE4"/>
    <w:rsid w:val="007419DE"/>
    <w:rsid w:val="00744D90"/>
    <w:rsid w:val="00756A2B"/>
    <w:rsid w:val="00756F00"/>
    <w:rsid w:val="0077053B"/>
    <w:rsid w:val="007719FC"/>
    <w:rsid w:val="0077711A"/>
    <w:rsid w:val="00780F46"/>
    <w:rsid w:val="00783DC3"/>
    <w:rsid w:val="00786091"/>
    <w:rsid w:val="00792477"/>
    <w:rsid w:val="007A31BA"/>
    <w:rsid w:val="007A31EE"/>
    <w:rsid w:val="007A6A6A"/>
    <w:rsid w:val="007B1964"/>
    <w:rsid w:val="007B1983"/>
    <w:rsid w:val="007B3B1F"/>
    <w:rsid w:val="007B4EFA"/>
    <w:rsid w:val="007B62E4"/>
    <w:rsid w:val="007C10A8"/>
    <w:rsid w:val="007C47C5"/>
    <w:rsid w:val="007C6314"/>
    <w:rsid w:val="007D0DC4"/>
    <w:rsid w:val="007D150E"/>
    <w:rsid w:val="007F1DC1"/>
    <w:rsid w:val="00801436"/>
    <w:rsid w:val="00805C59"/>
    <w:rsid w:val="00810FD3"/>
    <w:rsid w:val="0081110D"/>
    <w:rsid w:val="0081235D"/>
    <w:rsid w:val="0081679A"/>
    <w:rsid w:val="0082040E"/>
    <w:rsid w:val="00823232"/>
    <w:rsid w:val="00833928"/>
    <w:rsid w:val="0084187F"/>
    <w:rsid w:val="00846C12"/>
    <w:rsid w:val="008512E4"/>
    <w:rsid w:val="00861E8F"/>
    <w:rsid w:val="008624E2"/>
    <w:rsid w:val="008627A1"/>
    <w:rsid w:val="00866487"/>
    <w:rsid w:val="008708AF"/>
    <w:rsid w:val="00872DC3"/>
    <w:rsid w:val="00881AD2"/>
    <w:rsid w:val="00885A72"/>
    <w:rsid w:val="00885EB4"/>
    <w:rsid w:val="00890590"/>
    <w:rsid w:val="0089129E"/>
    <w:rsid w:val="008A09E5"/>
    <w:rsid w:val="008A709E"/>
    <w:rsid w:val="008C0C6E"/>
    <w:rsid w:val="008C3538"/>
    <w:rsid w:val="008D0820"/>
    <w:rsid w:val="008D2A68"/>
    <w:rsid w:val="008D3996"/>
    <w:rsid w:val="008D689C"/>
    <w:rsid w:val="008E411D"/>
    <w:rsid w:val="008E52F7"/>
    <w:rsid w:val="008E5861"/>
    <w:rsid w:val="008E754B"/>
    <w:rsid w:val="008E7B06"/>
    <w:rsid w:val="008F1115"/>
    <w:rsid w:val="008F6E73"/>
    <w:rsid w:val="008F71B3"/>
    <w:rsid w:val="00902DA2"/>
    <w:rsid w:val="00903F5E"/>
    <w:rsid w:val="00904939"/>
    <w:rsid w:val="009061F1"/>
    <w:rsid w:val="0090735C"/>
    <w:rsid w:val="00911530"/>
    <w:rsid w:val="00915898"/>
    <w:rsid w:val="0092018A"/>
    <w:rsid w:val="00922C29"/>
    <w:rsid w:val="009353B7"/>
    <w:rsid w:val="009377E3"/>
    <w:rsid w:val="00940219"/>
    <w:rsid w:val="00941A23"/>
    <w:rsid w:val="00943F82"/>
    <w:rsid w:val="00944D3B"/>
    <w:rsid w:val="0095294D"/>
    <w:rsid w:val="0095591F"/>
    <w:rsid w:val="00955D51"/>
    <w:rsid w:val="00956122"/>
    <w:rsid w:val="009618EE"/>
    <w:rsid w:val="009732EB"/>
    <w:rsid w:val="00973315"/>
    <w:rsid w:val="00973495"/>
    <w:rsid w:val="009776EF"/>
    <w:rsid w:val="009817DD"/>
    <w:rsid w:val="00986EEC"/>
    <w:rsid w:val="009873D8"/>
    <w:rsid w:val="009A2E2B"/>
    <w:rsid w:val="009A7330"/>
    <w:rsid w:val="009B1874"/>
    <w:rsid w:val="009B1A1C"/>
    <w:rsid w:val="009B3385"/>
    <w:rsid w:val="009B4F10"/>
    <w:rsid w:val="009B774B"/>
    <w:rsid w:val="009C07E7"/>
    <w:rsid w:val="009C144F"/>
    <w:rsid w:val="009C4298"/>
    <w:rsid w:val="009C4435"/>
    <w:rsid w:val="009C5818"/>
    <w:rsid w:val="009C5AD5"/>
    <w:rsid w:val="009D09DE"/>
    <w:rsid w:val="009D34FD"/>
    <w:rsid w:val="009D3CDA"/>
    <w:rsid w:val="009D563C"/>
    <w:rsid w:val="009D7048"/>
    <w:rsid w:val="009E5B63"/>
    <w:rsid w:val="009F0B44"/>
    <w:rsid w:val="009F2BB9"/>
    <w:rsid w:val="00A0334C"/>
    <w:rsid w:val="00A0623D"/>
    <w:rsid w:val="00A14DB1"/>
    <w:rsid w:val="00A20833"/>
    <w:rsid w:val="00A23FD2"/>
    <w:rsid w:val="00A30273"/>
    <w:rsid w:val="00A30397"/>
    <w:rsid w:val="00A335AA"/>
    <w:rsid w:val="00A34582"/>
    <w:rsid w:val="00A35F04"/>
    <w:rsid w:val="00A4022B"/>
    <w:rsid w:val="00A4429B"/>
    <w:rsid w:val="00A45F35"/>
    <w:rsid w:val="00A45F53"/>
    <w:rsid w:val="00A47D32"/>
    <w:rsid w:val="00A54A64"/>
    <w:rsid w:val="00A6005D"/>
    <w:rsid w:val="00A61BBC"/>
    <w:rsid w:val="00A67B46"/>
    <w:rsid w:val="00A9136D"/>
    <w:rsid w:val="00A91DB4"/>
    <w:rsid w:val="00A938A9"/>
    <w:rsid w:val="00A96DDB"/>
    <w:rsid w:val="00AA3863"/>
    <w:rsid w:val="00AA46E0"/>
    <w:rsid w:val="00AA4951"/>
    <w:rsid w:val="00AB0FC1"/>
    <w:rsid w:val="00AB323D"/>
    <w:rsid w:val="00AC406B"/>
    <w:rsid w:val="00AC725F"/>
    <w:rsid w:val="00AD4795"/>
    <w:rsid w:val="00AF0750"/>
    <w:rsid w:val="00AF2AAD"/>
    <w:rsid w:val="00AF3C63"/>
    <w:rsid w:val="00B016DD"/>
    <w:rsid w:val="00B0202E"/>
    <w:rsid w:val="00B05691"/>
    <w:rsid w:val="00B0648E"/>
    <w:rsid w:val="00B13F54"/>
    <w:rsid w:val="00B146F2"/>
    <w:rsid w:val="00B14F35"/>
    <w:rsid w:val="00B241B2"/>
    <w:rsid w:val="00B241C2"/>
    <w:rsid w:val="00B24D6C"/>
    <w:rsid w:val="00B2689B"/>
    <w:rsid w:val="00B27EA4"/>
    <w:rsid w:val="00B347A9"/>
    <w:rsid w:val="00B36826"/>
    <w:rsid w:val="00B41C50"/>
    <w:rsid w:val="00B46007"/>
    <w:rsid w:val="00B469F0"/>
    <w:rsid w:val="00B53985"/>
    <w:rsid w:val="00B53D51"/>
    <w:rsid w:val="00B546A7"/>
    <w:rsid w:val="00B600FD"/>
    <w:rsid w:val="00B61E17"/>
    <w:rsid w:val="00B62330"/>
    <w:rsid w:val="00B6757B"/>
    <w:rsid w:val="00B71FF0"/>
    <w:rsid w:val="00B73E54"/>
    <w:rsid w:val="00B767A7"/>
    <w:rsid w:val="00B76D6A"/>
    <w:rsid w:val="00B7724B"/>
    <w:rsid w:val="00B82CB9"/>
    <w:rsid w:val="00B91891"/>
    <w:rsid w:val="00B92315"/>
    <w:rsid w:val="00B92DEE"/>
    <w:rsid w:val="00BA0E83"/>
    <w:rsid w:val="00BA1114"/>
    <w:rsid w:val="00BA2EA5"/>
    <w:rsid w:val="00BA5CD0"/>
    <w:rsid w:val="00BA6061"/>
    <w:rsid w:val="00BA6FD6"/>
    <w:rsid w:val="00BB1C40"/>
    <w:rsid w:val="00BB1D07"/>
    <w:rsid w:val="00BB5E8B"/>
    <w:rsid w:val="00BB7711"/>
    <w:rsid w:val="00BD0AEA"/>
    <w:rsid w:val="00BD175E"/>
    <w:rsid w:val="00BD2331"/>
    <w:rsid w:val="00BD2443"/>
    <w:rsid w:val="00BD2F20"/>
    <w:rsid w:val="00BD3733"/>
    <w:rsid w:val="00BD382B"/>
    <w:rsid w:val="00BD74C2"/>
    <w:rsid w:val="00BE1E0A"/>
    <w:rsid w:val="00BE22F7"/>
    <w:rsid w:val="00BE665A"/>
    <w:rsid w:val="00BF2D57"/>
    <w:rsid w:val="00BF48FB"/>
    <w:rsid w:val="00C00A28"/>
    <w:rsid w:val="00C04A39"/>
    <w:rsid w:val="00C116A7"/>
    <w:rsid w:val="00C128BB"/>
    <w:rsid w:val="00C159D1"/>
    <w:rsid w:val="00C17A39"/>
    <w:rsid w:val="00C20791"/>
    <w:rsid w:val="00C20BBC"/>
    <w:rsid w:val="00C218A9"/>
    <w:rsid w:val="00C24258"/>
    <w:rsid w:val="00C26E1D"/>
    <w:rsid w:val="00C32835"/>
    <w:rsid w:val="00C37894"/>
    <w:rsid w:val="00C40433"/>
    <w:rsid w:val="00C407FC"/>
    <w:rsid w:val="00C40DA3"/>
    <w:rsid w:val="00C50F86"/>
    <w:rsid w:val="00C52CF1"/>
    <w:rsid w:val="00C62CB4"/>
    <w:rsid w:val="00C649DB"/>
    <w:rsid w:val="00C714CE"/>
    <w:rsid w:val="00C71B56"/>
    <w:rsid w:val="00C71ED1"/>
    <w:rsid w:val="00C72526"/>
    <w:rsid w:val="00C84525"/>
    <w:rsid w:val="00C95CFD"/>
    <w:rsid w:val="00CB1C42"/>
    <w:rsid w:val="00CB2A30"/>
    <w:rsid w:val="00CB5D68"/>
    <w:rsid w:val="00CC4EB6"/>
    <w:rsid w:val="00CD3B1D"/>
    <w:rsid w:val="00CD7DB5"/>
    <w:rsid w:val="00CE14FD"/>
    <w:rsid w:val="00CE5314"/>
    <w:rsid w:val="00CE71ED"/>
    <w:rsid w:val="00CF69AB"/>
    <w:rsid w:val="00CF72DA"/>
    <w:rsid w:val="00D03F6E"/>
    <w:rsid w:val="00D15A8B"/>
    <w:rsid w:val="00D165C1"/>
    <w:rsid w:val="00D17A2F"/>
    <w:rsid w:val="00D2042E"/>
    <w:rsid w:val="00D31D9C"/>
    <w:rsid w:val="00D335DE"/>
    <w:rsid w:val="00D364B7"/>
    <w:rsid w:val="00D40373"/>
    <w:rsid w:val="00D4078D"/>
    <w:rsid w:val="00D42C72"/>
    <w:rsid w:val="00D475F3"/>
    <w:rsid w:val="00D513AC"/>
    <w:rsid w:val="00D519DD"/>
    <w:rsid w:val="00D56820"/>
    <w:rsid w:val="00D6129C"/>
    <w:rsid w:val="00D64AD8"/>
    <w:rsid w:val="00D65F38"/>
    <w:rsid w:val="00D67D46"/>
    <w:rsid w:val="00D72044"/>
    <w:rsid w:val="00D73275"/>
    <w:rsid w:val="00D73CFF"/>
    <w:rsid w:val="00D74C3D"/>
    <w:rsid w:val="00D75501"/>
    <w:rsid w:val="00D807CA"/>
    <w:rsid w:val="00D80CEA"/>
    <w:rsid w:val="00D8710A"/>
    <w:rsid w:val="00D9088D"/>
    <w:rsid w:val="00D912E3"/>
    <w:rsid w:val="00D91BC1"/>
    <w:rsid w:val="00D974CC"/>
    <w:rsid w:val="00DA33C3"/>
    <w:rsid w:val="00DB11AA"/>
    <w:rsid w:val="00DB1270"/>
    <w:rsid w:val="00DB2685"/>
    <w:rsid w:val="00DB2BFF"/>
    <w:rsid w:val="00DB3C96"/>
    <w:rsid w:val="00DB6C3B"/>
    <w:rsid w:val="00DC095F"/>
    <w:rsid w:val="00DC7580"/>
    <w:rsid w:val="00DD0032"/>
    <w:rsid w:val="00DD44BA"/>
    <w:rsid w:val="00DD77EA"/>
    <w:rsid w:val="00DE064B"/>
    <w:rsid w:val="00DF18EA"/>
    <w:rsid w:val="00DF2A23"/>
    <w:rsid w:val="00DF349A"/>
    <w:rsid w:val="00DF4094"/>
    <w:rsid w:val="00E03B8B"/>
    <w:rsid w:val="00E046DE"/>
    <w:rsid w:val="00E04CF3"/>
    <w:rsid w:val="00E05D87"/>
    <w:rsid w:val="00E159A9"/>
    <w:rsid w:val="00E228B2"/>
    <w:rsid w:val="00E31903"/>
    <w:rsid w:val="00E31CFD"/>
    <w:rsid w:val="00E34405"/>
    <w:rsid w:val="00E36C35"/>
    <w:rsid w:val="00E45865"/>
    <w:rsid w:val="00E50FE2"/>
    <w:rsid w:val="00E51CEF"/>
    <w:rsid w:val="00E52F90"/>
    <w:rsid w:val="00E55D96"/>
    <w:rsid w:val="00E61665"/>
    <w:rsid w:val="00E66FFD"/>
    <w:rsid w:val="00E67075"/>
    <w:rsid w:val="00E77AD3"/>
    <w:rsid w:val="00E80E04"/>
    <w:rsid w:val="00E839EC"/>
    <w:rsid w:val="00E84F62"/>
    <w:rsid w:val="00E8529C"/>
    <w:rsid w:val="00E87E68"/>
    <w:rsid w:val="00E90A62"/>
    <w:rsid w:val="00E910A5"/>
    <w:rsid w:val="00E91582"/>
    <w:rsid w:val="00E95151"/>
    <w:rsid w:val="00E97C70"/>
    <w:rsid w:val="00EA182A"/>
    <w:rsid w:val="00EB104F"/>
    <w:rsid w:val="00EB214A"/>
    <w:rsid w:val="00EB279C"/>
    <w:rsid w:val="00EC0DF5"/>
    <w:rsid w:val="00EC38B7"/>
    <w:rsid w:val="00EC3EB7"/>
    <w:rsid w:val="00EC41C5"/>
    <w:rsid w:val="00EC503C"/>
    <w:rsid w:val="00EC590B"/>
    <w:rsid w:val="00ED6871"/>
    <w:rsid w:val="00EE4C41"/>
    <w:rsid w:val="00EE7105"/>
    <w:rsid w:val="00EF3BFD"/>
    <w:rsid w:val="00F02519"/>
    <w:rsid w:val="00F0278C"/>
    <w:rsid w:val="00F0321E"/>
    <w:rsid w:val="00F05BDC"/>
    <w:rsid w:val="00F133E8"/>
    <w:rsid w:val="00F13786"/>
    <w:rsid w:val="00F16DB5"/>
    <w:rsid w:val="00F21CDB"/>
    <w:rsid w:val="00F25660"/>
    <w:rsid w:val="00F311B5"/>
    <w:rsid w:val="00F32CA2"/>
    <w:rsid w:val="00F359DF"/>
    <w:rsid w:val="00F36D25"/>
    <w:rsid w:val="00F3756F"/>
    <w:rsid w:val="00F40456"/>
    <w:rsid w:val="00F418A9"/>
    <w:rsid w:val="00F42533"/>
    <w:rsid w:val="00F45676"/>
    <w:rsid w:val="00F45ECF"/>
    <w:rsid w:val="00F50D59"/>
    <w:rsid w:val="00F564F9"/>
    <w:rsid w:val="00F6506B"/>
    <w:rsid w:val="00F653EA"/>
    <w:rsid w:val="00F70693"/>
    <w:rsid w:val="00F71508"/>
    <w:rsid w:val="00F76C48"/>
    <w:rsid w:val="00F77D87"/>
    <w:rsid w:val="00F8026C"/>
    <w:rsid w:val="00F82097"/>
    <w:rsid w:val="00F825E3"/>
    <w:rsid w:val="00F82D85"/>
    <w:rsid w:val="00F913D9"/>
    <w:rsid w:val="00F9433B"/>
    <w:rsid w:val="00F95B4D"/>
    <w:rsid w:val="00F962AD"/>
    <w:rsid w:val="00F97060"/>
    <w:rsid w:val="00F973C9"/>
    <w:rsid w:val="00FA0FFB"/>
    <w:rsid w:val="00FA5F6D"/>
    <w:rsid w:val="00FA7CA2"/>
    <w:rsid w:val="00FB1D39"/>
    <w:rsid w:val="00FB4F27"/>
    <w:rsid w:val="00FC3AB6"/>
    <w:rsid w:val="00FC4FA6"/>
    <w:rsid w:val="00FC5029"/>
    <w:rsid w:val="00FC6977"/>
    <w:rsid w:val="00FD11B2"/>
    <w:rsid w:val="00FD7721"/>
    <w:rsid w:val="00FE55C5"/>
    <w:rsid w:val="00FE76BD"/>
    <w:rsid w:val="00FF3942"/>
    <w:rsid w:val="09FE13C0"/>
    <w:rsid w:val="0A1D1CE0"/>
    <w:rsid w:val="153F23BF"/>
    <w:rsid w:val="2C0B6DCC"/>
    <w:rsid w:val="3F043D6E"/>
    <w:rsid w:val="508F6904"/>
    <w:rsid w:val="65F9EF3A"/>
    <w:rsid w:val="6B59058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4:docId w14:val="180EE286"/>
  <w15:chartTrackingRefBased/>
  <w15:docId w15:val="{F03C7369-8559-1B4E-A713-4DB801886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3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3F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3F5E"/>
    <w:rPr>
      <w:rFonts w:ascii="Times New Roman" w:hAnsi="Times New Roman" w:cs="Times New Roman"/>
      <w:sz w:val="18"/>
      <w:szCs w:val="18"/>
    </w:rPr>
  </w:style>
  <w:style w:type="character" w:styleId="Hyperlink">
    <w:name w:val="Hyperlink"/>
    <w:basedOn w:val="DefaultParagraphFont"/>
    <w:uiPriority w:val="99"/>
    <w:unhideWhenUsed/>
    <w:rsid w:val="002648EB"/>
    <w:rPr>
      <w:color w:val="0563C1" w:themeColor="hyperlink"/>
      <w:u w:val="single"/>
    </w:rPr>
  </w:style>
  <w:style w:type="character" w:styleId="UnresolvedMention">
    <w:name w:val="Unresolved Mention"/>
    <w:basedOn w:val="DefaultParagraphFont"/>
    <w:uiPriority w:val="99"/>
    <w:semiHidden/>
    <w:unhideWhenUsed/>
    <w:rsid w:val="002648EB"/>
    <w:rPr>
      <w:color w:val="605E5C"/>
      <w:shd w:val="clear" w:color="auto" w:fill="E1DFDD"/>
    </w:rPr>
  </w:style>
  <w:style w:type="paragraph" w:styleId="CommentText">
    <w:name w:val="annotation text"/>
    <w:basedOn w:val="Normal"/>
    <w:link w:val="CommentTextChar"/>
    <w:uiPriority w:val="99"/>
    <w:unhideWhenUsed/>
    <w:rsid w:val="00F13786"/>
    <w:pPr>
      <w:spacing w:after="200"/>
    </w:pPr>
    <w:rPr>
      <w:sz w:val="20"/>
      <w:szCs w:val="20"/>
    </w:rPr>
  </w:style>
  <w:style w:type="character" w:customStyle="1" w:styleId="CommentTextChar">
    <w:name w:val="Comment Text Char"/>
    <w:basedOn w:val="DefaultParagraphFont"/>
    <w:link w:val="CommentText"/>
    <w:uiPriority w:val="99"/>
    <w:rsid w:val="00F13786"/>
    <w:rPr>
      <w:sz w:val="20"/>
      <w:szCs w:val="20"/>
    </w:rPr>
  </w:style>
  <w:style w:type="character" w:styleId="CommentReference">
    <w:name w:val="annotation reference"/>
    <w:basedOn w:val="DefaultParagraphFont"/>
    <w:uiPriority w:val="99"/>
    <w:semiHidden/>
    <w:unhideWhenUsed/>
    <w:rsid w:val="004733DC"/>
    <w:rPr>
      <w:sz w:val="16"/>
      <w:szCs w:val="16"/>
    </w:rPr>
  </w:style>
  <w:style w:type="paragraph" w:styleId="CommentSubject">
    <w:name w:val="annotation subject"/>
    <w:basedOn w:val="CommentText"/>
    <w:next w:val="CommentText"/>
    <w:link w:val="CommentSubjectChar"/>
    <w:uiPriority w:val="99"/>
    <w:semiHidden/>
    <w:unhideWhenUsed/>
    <w:rsid w:val="004733DC"/>
    <w:pPr>
      <w:spacing w:after="0"/>
    </w:pPr>
    <w:rPr>
      <w:b/>
      <w:bCs/>
    </w:rPr>
  </w:style>
  <w:style w:type="character" w:customStyle="1" w:styleId="CommentSubjectChar">
    <w:name w:val="Comment Subject Char"/>
    <w:basedOn w:val="CommentTextChar"/>
    <w:link w:val="CommentSubject"/>
    <w:uiPriority w:val="99"/>
    <w:semiHidden/>
    <w:rsid w:val="004733DC"/>
    <w:rPr>
      <w:b/>
      <w:bCs/>
      <w:sz w:val="20"/>
      <w:szCs w:val="20"/>
    </w:rPr>
  </w:style>
  <w:style w:type="paragraph" w:styleId="FootnoteText">
    <w:name w:val="footnote text"/>
    <w:basedOn w:val="Normal"/>
    <w:link w:val="FootnoteTextChar"/>
    <w:uiPriority w:val="99"/>
    <w:semiHidden/>
    <w:unhideWhenUsed/>
    <w:rsid w:val="00475B99"/>
    <w:rPr>
      <w:sz w:val="20"/>
      <w:szCs w:val="20"/>
    </w:rPr>
  </w:style>
  <w:style w:type="character" w:customStyle="1" w:styleId="FootnoteTextChar">
    <w:name w:val="Footnote Text Char"/>
    <w:basedOn w:val="DefaultParagraphFont"/>
    <w:link w:val="FootnoteText"/>
    <w:uiPriority w:val="99"/>
    <w:semiHidden/>
    <w:rsid w:val="00475B99"/>
    <w:rPr>
      <w:sz w:val="20"/>
      <w:szCs w:val="20"/>
    </w:rPr>
  </w:style>
  <w:style w:type="character" w:styleId="FootnoteReference">
    <w:name w:val="footnote reference"/>
    <w:basedOn w:val="DefaultParagraphFont"/>
    <w:uiPriority w:val="99"/>
    <w:semiHidden/>
    <w:unhideWhenUsed/>
    <w:rsid w:val="00475B99"/>
    <w:rPr>
      <w:vertAlign w:val="superscript"/>
    </w:rPr>
  </w:style>
  <w:style w:type="paragraph" w:styleId="ListParagraph">
    <w:name w:val="List Paragraph"/>
    <w:basedOn w:val="Normal"/>
    <w:uiPriority w:val="34"/>
    <w:qFormat/>
    <w:rsid w:val="00E97C70"/>
    <w:pPr>
      <w:ind w:left="720"/>
      <w:contextualSpacing/>
    </w:pPr>
  </w:style>
  <w:style w:type="character" w:styleId="FollowedHyperlink">
    <w:name w:val="FollowedHyperlink"/>
    <w:basedOn w:val="DefaultParagraphFont"/>
    <w:uiPriority w:val="99"/>
    <w:semiHidden/>
    <w:unhideWhenUsed/>
    <w:rsid w:val="000F363D"/>
    <w:rPr>
      <w:color w:val="954F72" w:themeColor="followedHyperlink"/>
      <w:u w:val="single"/>
    </w:rPr>
  </w:style>
  <w:style w:type="paragraph" w:styleId="Header">
    <w:name w:val="header"/>
    <w:basedOn w:val="Normal"/>
    <w:link w:val="HeaderChar"/>
    <w:uiPriority w:val="99"/>
    <w:unhideWhenUsed/>
    <w:rsid w:val="006D3E95"/>
    <w:pPr>
      <w:tabs>
        <w:tab w:val="center" w:pos="4680"/>
        <w:tab w:val="right" w:pos="9360"/>
      </w:tabs>
    </w:pPr>
  </w:style>
  <w:style w:type="character" w:customStyle="1" w:styleId="HeaderChar">
    <w:name w:val="Header Char"/>
    <w:basedOn w:val="DefaultParagraphFont"/>
    <w:link w:val="Header"/>
    <w:uiPriority w:val="99"/>
    <w:rsid w:val="006D3E95"/>
  </w:style>
  <w:style w:type="paragraph" w:styleId="Footer">
    <w:name w:val="footer"/>
    <w:basedOn w:val="Normal"/>
    <w:link w:val="FooterChar"/>
    <w:uiPriority w:val="99"/>
    <w:unhideWhenUsed/>
    <w:rsid w:val="006D3E95"/>
    <w:pPr>
      <w:tabs>
        <w:tab w:val="center" w:pos="4680"/>
        <w:tab w:val="right" w:pos="9360"/>
      </w:tabs>
    </w:pPr>
  </w:style>
  <w:style w:type="character" w:customStyle="1" w:styleId="FooterChar">
    <w:name w:val="Footer Char"/>
    <w:basedOn w:val="DefaultParagraphFont"/>
    <w:link w:val="Footer"/>
    <w:uiPriority w:val="99"/>
    <w:rsid w:val="006D3E95"/>
  </w:style>
  <w:style w:type="character" w:styleId="Mention">
    <w:name w:val="Mention"/>
    <w:basedOn w:val="DefaultParagraphFont"/>
    <w:uiPriority w:val="99"/>
    <w:unhideWhenUsed/>
    <w:rsid w:val="005311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6790495">
      <w:bodyDiv w:val="1"/>
      <w:marLeft w:val="0"/>
      <w:marRight w:val="0"/>
      <w:marTop w:val="0"/>
      <w:marBottom w:val="0"/>
      <w:divBdr>
        <w:top w:val="none" w:sz="0" w:space="0" w:color="auto"/>
        <w:left w:val="none" w:sz="0" w:space="0" w:color="auto"/>
        <w:bottom w:val="none" w:sz="0" w:space="0" w:color="auto"/>
        <w:right w:val="none" w:sz="0" w:space="0" w:color="auto"/>
      </w:divBdr>
      <w:divsChild>
        <w:div w:id="1900633436">
          <w:marLeft w:val="0"/>
          <w:marRight w:val="0"/>
          <w:marTop w:val="0"/>
          <w:marBottom w:val="0"/>
          <w:divBdr>
            <w:top w:val="none" w:sz="0" w:space="0" w:color="auto"/>
            <w:left w:val="none" w:sz="0" w:space="0" w:color="auto"/>
            <w:bottom w:val="none" w:sz="0" w:space="0" w:color="auto"/>
            <w:right w:val="none" w:sz="0" w:space="0" w:color="auto"/>
          </w:divBdr>
          <w:divsChild>
            <w:div w:id="641427980">
              <w:marLeft w:val="0"/>
              <w:marRight w:val="0"/>
              <w:marTop w:val="0"/>
              <w:marBottom w:val="0"/>
              <w:divBdr>
                <w:top w:val="none" w:sz="0" w:space="0" w:color="auto"/>
                <w:left w:val="none" w:sz="0" w:space="0" w:color="auto"/>
                <w:bottom w:val="none" w:sz="0" w:space="0" w:color="auto"/>
                <w:right w:val="none" w:sz="0" w:space="0" w:color="auto"/>
              </w:divBdr>
              <w:divsChild>
                <w:div w:id="17982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7547">
      <w:bodyDiv w:val="1"/>
      <w:marLeft w:val="0"/>
      <w:marRight w:val="0"/>
      <w:marTop w:val="0"/>
      <w:marBottom w:val="0"/>
      <w:divBdr>
        <w:top w:val="none" w:sz="0" w:space="0" w:color="auto"/>
        <w:left w:val="none" w:sz="0" w:space="0" w:color="auto"/>
        <w:bottom w:val="none" w:sz="0" w:space="0" w:color="auto"/>
        <w:right w:val="none" w:sz="0" w:space="0" w:color="auto"/>
      </w:divBdr>
    </w:div>
    <w:div w:id="1401322312">
      <w:bodyDiv w:val="1"/>
      <w:marLeft w:val="0"/>
      <w:marRight w:val="0"/>
      <w:marTop w:val="0"/>
      <w:marBottom w:val="0"/>
      <w:divBdr>
        <w:top w:val="none" w:sz="0" w:space="0" w:color="auto"/>
        <w:left w:val="none" w:sz="0" w:space="0" w:color="auto"/>
        <w:bottom w:val="none" w:sz="0" w:space="0" w:color="auto"/>
        <w:right w:val="none" w:sz="0" w:space="0" w:color="auto"/>
      </w:divBdr>
      <w:divsChild>
        <w:div w:id="212352243">
          <w:marLeft w:val="0"/>
          <w:marRight w:val="0"/>
          <w:marTop w:val="0"/>
          <w:marBottom w:val="0"/>
          <w:divBdr>
            <w:top w:val="none" w:sz="0" w:space="0" w:color="auto"/>
            <w:left w:val="none" w:sz="0" w:space="0" w:color="auto"/>
            <w:bottom w:val="none" w:sz="0" w:space="0" w:color="auto"/>
            <w:right w:val="none" w:sz="0" w:space="0" w:color="auto"/>
          </w:divBdr>
          <w:divsChild>
            <w:div w:id="655569850">
              <w:marLeft w:val="0"/>
              <w:marRight w:val="0"/>
              <w:marTop w:val="0"/>
              <w:marBottom w:val="0"/>
              <w:divBdr>
                <w:top w:val="none" w:sz="0" w:space="0" w:color="auto"/>
                <w:left w:val="none" w:sz="0" w:space="0" w:color="auto"/>
                <w:bottom w:val="none" w:sz="0" w:space="0" w:color="auto"/>
                <w:right w:val="none" w:sz="0" w:space="0" w:color="auto"/>
              </w:divBdr>
              <w:divsChild>
                <w:div w:id="7524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5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promapp.com/unimelb/process/group/61f5bf88-9d0c-47df-8ec2-1b5d6b8535d5" TargetMode="External"/><Relationship Id="rId18" Type="http://schemas.openxmlformats.org/officeDocument/2006/relationships/hyperlink" Target="https://gateway.research.unimelb.edu.au/resources/platforms-infrastructure-and-equipment/doing-data-better/hel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records.unimelb.edu.au/services/disposal_advice/rda" TargetMode="External"/><Relationship Id="rId7" Type="http://schemas.openxmlformats.org/officeDocument/2006/relationships/styles" Target="styles.xml"/><Relationship Id="rId12" Type="http://schemas.openxmlformats.org/officeDocument/2006/relationships/hyperlink" Target="https://gateway.research.unimelb.edu.au/resources/my-university/petascale-campus-initiative" TargetMode="External"/><Relationship Id="rId17" Type="http://schemas.openxmlformats.org/officeDocument/2006/relationships/hyperlink" Target="https://au.promapp.com/unimelb/process/group/61f5bf88-9d0c-47df-8ec2-1b5d6b8535d5"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ida-global.org/care" TargetMode="External"/><Relationship Id="rId20" Type="http://schemas.openxmlformats.org/officeDocument/2006/relationships/hyperlink" Target="https://records.unimelb.edu.au/services/disposal_advice/rda"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library.unimelb.edu.au/digitisation"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prov.vic.gov.au/recordkeeping-government/document-library/pros-1607-higher-and-further-education-function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records.unimelb.edu.au/services/storage" TargetMode="External"/><Relationship Id="rId22" Type="http://schemas.openxmlformats.org/officeDocument/2006/relationships/hyperlink" Target="https://library.unimelb.edu.au/open-scholarship/principles-on-open-access-to-research-outputs"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nhmrc.gov.au/sites/default/files/documents/attachments/Management-of-Data-and-Information-in-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72DA9DE68729A468680FAE540484737" ma:contentTypeVersion="11" ma:contentTypeDescription="Create a new document." ma:contentTypeScope="" ma:versionID="8924eecfaaf79eea412c9021ec520055">
  <xsd:schema xmlns:xsd="http://www.w3.org/2001/XMLSchema" xmlns:xs="http://www.w3.org/2001/XMLSchema" xmlns:p="http://schemas.microsoft.com/office/2006/metadata/properties" xmlns:ns2="a4a31cb2-64bc-45ff-99e9-a53a5fed9112" xmlns:ns3="3f729e4e-ad28-412f-a6a7-0ece469175e5" targetNamespace="http://schemas.microsoft.com/office/2006/metadata/properties" ma:root="true" ma:fieldsID="04dd1ea12c18454c51f9021c124ebddb" ns2:_="" ns3:_="">
    <xsd:import namespace="a4a31cb2-64bc-45ff-99e9-a53a5fed9112"/>
    <xsd:import namespace="3f729e4e-ad28-412f-a6a7-0ece46917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31cb2-64bc-45ff-99e9-a53a5fed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729e4e-ad28-412f-a6a7-0ece469175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3471D46-E486-2543-86C4-FE2443D76D03}">
  <ds:schemaRefs>
    <ds:schemaRef ds:uri="http://schemas.openxmlformats.org/officeDocument/2006/bibliography"/>
  </ds:schemaRefs>
</ds:datastoreItem>
</file>

<file path=customXml/itemProps2.xml><?xml version="1.0" encoding="utf-8"?>
<ds:datastoreItem xmlns:ds="http://schemas.openxmlformats.org/officeDocument/2006/customXml" ds:itemID="{27F79889-8265-4C6E-A344-3AD7CEB81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31cb2-64bc-45ff-99e9-a53a5fed9112"/>
    <ds:schemaRef ds:uri="3f729e4e-ad28-412f-a6a7-0ece46917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4EE6F-B74F-488F-B34F-06D010D6317A}">
  <ds:schemaRefs>
    <ds:schemaRef ds:uri="http://schemas.microsoft.com/sharepoint/v3/contenttype/forms"/>
  </ds:schemaRefs>
</ds:datastoreItem>
</file>

<file path=customXml/itemProps4.xml><?xml version="1.0" encoding="utf-8"?>
<ds:datastoreItem xmlns:ds="http://schemas.openxmlformats.org/officeDocument/2006/customXml" ds:itemID="{5F93BC92-7C14-4423-9D85-946C209363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DC823DF-3D82-4615-BC08-46A652E3BD9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2224</Words>
  <Characters>12682</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14877</CharactersWithSpaces>
  <SharedDoc>false</SharedDoc>
  <HLinks>
    <vt:vector size="54" baseType="variant">
      <vt:variant>
        <vt:i4>852035</vt:i4>
      </vt:variant>
      <vt:variant>
        <vt:i4>21</vt:i4>
      </vt:variant>
      <vt:variant>
        <vt:i4>0</vt:i4>
      </vt:variant>
      <vt:variant>
        <vt:i4>5</vt:i4>
      </vt:variant>
      <vt:variant>
        <vt:lpwstr>https://library.unimelb.edu.au/open-scholarship/principles-on-open-access-to-research-outputs</vt:lpwstr>
      </vt:variant>
      <vt:variant>
        <vt:lpwstr/>
      </vt:variant>
      <vt:variant>
        <vt:i4>3407946</vt:i4>
      </vt:variant>
      <vt:variant>
        <vt:i4>18</vt:i4>
      </vt:variant>
      <vt:variant>
        <vt:i4>0</vt:i4>
      </vt:variant>
      <vt:variant>
        <vt:i4>5</vt:i4>
      </vt:variant>
      <vt:variant>
        <vt:lpwstr>https://records.unimelb.edu.au/services/disposal_advice/rda</vt:lpwstr>
      </vt:variant>
      <vt:variant>
        <vt:lpwstr/>
      </vt:variant>
      <vt:variant>
        <vt:i4>2752570</vt:i4>
      </vt:variant>
      <vt:variant>
        <vt:i4>15</vt:i4>
      </vt:variant>
      <vt:variant>
        <vt:i4>0</vt:i4>
      </vt:variant>
      <vt:variant>
        <vt:i4>5</vt:i4>
      </vt:variant>
      <vt:variant>
        <vt:lpwstr>https://gateway.research.unimelb.edu.au/resources/platforms-infrastructure-and-equipment/doing-data-better/help</vt:lpwstr>
      </vt:variant>
      <vt:variant>
        <vt:lpwstr/>
      </vt:variant>
      <vt:variant>
        <vt:i4>5832726</vt:i4>
      </vt:variant>
      <vt:variant>
        <vt:i4>12</vt:i4>
      </vt:variant>
      <vt:variant>
        <vt:i4>0</vt:i4>
      </vt:variant>
      <vt:variant>
        <vt:i4>5</vt:i4>
      </vt:variant>
      <vt:variant>
        <vt:lpwstr>https://au.promapp.com/unimelb/process/group/61f5bf88-9d0c-47df-8ec2-1b5d6b8535d5</vt:lpwstr>
      </vt:variant>
      <vt:variant>
        <vt:lpwstr/>
      </vt:variant>
      <vt:variant>
        <vt:i4>6160405</vt:i4>
      </vt:variant>
      <vt:variant>
        <vt:i4>9</vt:i4>
      </vt:variant>
      <vt:variant>
        <vt:i4>0</vt:i4>
      </vt:variant>
      <vt:variant>
        <vt:i4>5</vt:i4>
      </vt:variant>
      <vt:variant>
        <vt:lpwstr>https://www.gida-global.org/care</vt:lpwstr>
      </vt:variant>
      <vt:variant>
        <vt:lpwstr/>
      </vt:variant>
      <vt:variant>
        <vt:i4>3604594</vt:i4>
      </vt:variant>
      <vt:variant>
        <vt:i4>6</vt:i4>
      </vt:variant>
      <vt:variant>
        <vt:i4>0</vt:i4>
      </vt:variant>
      <vt:variant>
        <vt:i4>5</vt:i4>
      </vt:variant>
      <vt:variant>
        <vt:lpwstr>https://library.unimelb.edu.au/digitisation</vt:lpwstr>
      </vt:variant>
      <vt:variant>
        <vt:lpwstr/>
      </vt:variant>
      <vt:variant>
        <vt:i4>7077995</vt:i4>
      </vt:variant>
      <vt:variant>
        <vt:i4>3</vt:i4>
      </vt:variant>
      <vt:variant>
        <vt:i4>0</vt:i4>
      </vt:variant>
      <vt:variant>
        <vt:i4>5</vt:i4>
      </vt:variant>
      <vt:variant>
        <vt:lpwstr>https://records.unimelb.edu.au/services/storage</vt:lpwstr>
      </vt:variant>
      <vt:variant>
        <vt:lpwstr/>
      </vt:variant>
      <vt:variant>
        <vt:i4>5832726</vt:i4>
      </vt:variant>
      <vt:variant>
        <vt:i4>0</vt:i4>
      </vt:variant>
      <vt:variant>
        <vt:i4>0</vt:i4>
      </vt:variant>
      <vt:variant>
        <vt:i4>5</vt:i4>
      </vt:variant>
      <vt:variant>
        <vt:lpwstr>https://au.promapp.com/unimelb/process/group/61f5bf88-9d0c-47df-8ec2-1b5d6b8535d5</vt:lpwstr>
      </vt:variant>
      <vt:variant>
        <vt:lpwstr/>
      </vt:variant>
      <vt:variant>
        <vt:i4>5963874</vt:i4>
      </vt:variant>
      <vt:variant>
        <vt:i4>0</vt:i4>
      </vt:variant>
      <vt:variant>
        <vt:i4>0</vt:i4>
      </vt:variant>
      <vt:variant>
        <vt:i4>5</vt:i4>
      </vt:variant>
      <vt:variant>
        <vt:lpwstr>mailto:helena.lynn@unimelb.edu.au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Lynn</dc:creator>
  <cp:keywords/>
  <dc:description/>
  <cp:lastModifiedBy>Holly Crain</cp:lastModifiedBy>
  <cp:revision>2</cp:revision>
  <dcterms:created xsi:type="dcterms:W3CDTF">2021-06-17T00:24:00Z</dcterms:created>
  <dcterms:modified xsi:type="dcterms:W3CDTF">2021-06-17T00:24:00Z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0x010100072DA9DE68729A468680FAE540484737</vt:lpwstr>
  </property>
</Properties>
</file>