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7FE23" w14:textId="14583990" w:rsidR="00582C0D" w:rsidRPr="00582C0D" w:rsidRDefault="00582C0D">
      <w:pPr>
        <w:rPr>
          <w:b/>
          <w:bCs/>
        </w:rPr>
      </w:pPr>
      <w:r w:rsidRPr="00582C0D">
        <w:rPr>
          <w:b/>
          <w:bCs/>
        </w:rPr>
        <w:t xml:space="preserve">Workplace Gender Equality Agency Employer Statement </w:t>
      </w:r>
    </w:p>
    <w:p w14:paraId="33B2D2D1" w14:textId="5EF7312B" w:rsidR="00582C0D" w:rsidRDefault="00582C0D">
      <w:r>
        <w:t>2024 – 2025</w:t>
      </w:r>
    </w:p>
    <w:p w14:paraId="67941A6E" w14:textId="050B5426" w:rsidR="00582C0D" w:rsidRDefault="00582C0D" w:rsidP="00582C0D">
      <w:r>
        <w:t>The University of Melbourne fosters a dynamic and diverse community of staff,</w:t>
      </w:r>
      <w:r w:rsidR="003A0CCE">
        <w:t xml:space="preserve"> </w:t>
      </w:r>
      <w:r>
        <w:t xml:space="preserve">students and alumni. Our Strategy 2030: Resilience sets out our commitment to creating an environment where every individual can thrive and succeed. </w:t>
      </w:r>
    </w:p>
    <w:p w14:paraId="6BFECA7B" w14:textId="77777777" w:rsidR="00E01220" w:rsidRDefault="00582C0D" w:rsidP="00582C0D">
      <w:r>
        <w:t>Our approach to gender equality and reducing the gender pay gap is underpinned by our</w:t>
      </w:r>
      <w:r w:rsidR="00E01220">
        <w:t xml:space="preserve"> </w:t>
      </w:r>
      <w:r>
        <w:t xml:space="preserve">Diversity and Inclusion Strategy 2030 and driven by key initiatives including: </w:t>
      </w:r>
    </w:p>
    <w:p w14:paraId="0A489289" w14:textId="79311BA7" w:rsidR="00582C0D" w:rsidRDefault="00582C0D" w:rsidP="00830846">
      <w:pPr>
        <w:pStyle w:val="ListParagraph"/>
        <w:numPr>
          <w:ilvl w:val="0"/>
          <w:numId w:val="1"/>
        </w:numPr>
      </w:pPr>
      <w:r>
        <w:t>Our Gender Equality Action Plan,</w:t>
      </w:r>
    </w:p>
    <w:p w14:paraId="684F89A4" w14:textId="77777777" w:rsidR="00830846" w:rsidRDefault="00582C0D" w:rsidP="00830846">
      <w:pPr>
        <w:pStyle w:val="ListParagraph"/>
        <w:numPr>
          <w:ilvl w:val="0"/>
          <w:numId w:val="1"/>
        </w:numPr>
      </w:pPr>
      <w:r>
        <w:t>Whole-of-Organisation Gender-based Violence Prevention and Response Plan and Outcomes Framework, and</w:t>
      </w:r>
      <w:r w:rsidR="00E01220">
        <w:t xml:space="preserve"> </w:t>
      </w:r>
    </w:p>
    <w:p w14:paraId="53A2F8BD" w14:textId="10495506" w:rsidR="00582C0D" w:rsidRDefault="00582C0D" w:rsidP="00830846">
      <w:pPr>
        <w:pStyle w:val="ListParagraph"/>
        <w:numPr>
          <w:ilvl w:val="0"/>
          <w:numId w:val="1"/>
        </w:numPr>
      </w:pPr>
      <w:r>
        <w:t>Athena Swan activities.</w:t>
      </w:r>
    </w:p>
    <w:p w14:paraId="2E2D5895" w14:textId="77777777" w:rsidR="00582C0D" w:rsidRPr="00A55D30" w:rsidRDefault="00582C0D" w:rsidP="00582C0D">
      <w:pPr>
        <w:rPr>
          <w:b/>
          <w:bCs/>
        </w:rPr>
      </w:pPr>
      <w:r w:rsidRPr="00A55D30">
        <w:rPr>
          <w:b/>
          <w:bCs/>
        </w:rPr>
        <w:t>Gender pay gap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101E8" w14:paraId="0EA6D0F7" w14:textId="77777777" w:rsidTr="006101E8">
        <w:tc>
          <w:tcPr>
            <w:tcW w:w="3005" w:type="dxa"/>
          </w:tcPr>
          <w:p w14:paraId="29F8FD51" w14:textId="7715CA02" w:rsidR="006101E8" w:rsidRPr="00557B52" w:rsidRDefault="006101E8" w:rsidP="00582C0D">
            <w:pPr>
              <w:rPr>
                <w:b/>
                <w:bCs/>
              </w:rPr>
            </w:pPr>
            <w:r w:rsidRPr="00557B52">
              <w:rPr>
                <w:b/>
                <w:bCs/>
              </w:rPr>
              <w:t>All employees</w:t>
            </w:r>
          </w:p>
        </w:tc>
        <w:tc>
          <w:tcPr>
            <w:tcW w:w="3005" w:type="dxa"/>
          </w:tcPr>
          <w:p w14:paraId="501AD974" w14:textId="1CF0FC60" w:rsidR="006101E8" w:rsidRPr="00557B52" w:rsidRDefault="006101E8" w:rsidP="00582C0D">
            <w:pPr>
              <w:rPr>
                <w:b/>
                <w:bCs/>
              </w:rPr>
            </w:pPr>
            <w:r w:rsidRPr="00557B52">
              <w:rPr>
                <w:b/>
                <w:bCs/>
              </w:rPr>
              <w:t>2023–24</w:t>
            </w:r>
          </w:p>
        </w:tc>
        <w:tc>
          <w:tcPr>
            <w:tcW w:w="3006" w:type="dxa"/>
          </w:tcPr>
          <w:p w14:paraId="113C25DA" w14:textId="77777777" w:rsidR="006101E8" w:rsidRPr="00557B52" w:rsidRDefault="006101E8" w:rsidP="006101E8">
            <w:pPr>
              <w:rPr>
                <w:b/>
                <w:bCs/>
              </w:rPr>
            </w:pPr>
            <w:r w:rsidRPr="00557B52">
              <w:rPr>
                <w:b/>
                <w:bCs/>
              </w:rPr>
              <w:t>2024–25</w:t>
            </w:r>
          </w:p>
          <w:p w14:paraId="3115067E" w14:textId="77777777" w:rsidR="006101E8" w:rsidRPr="00557B52" w:rsidRDefault="006101E8" w:rsidP="00582C0D">
            <w:pPr>
              <w:rPr>
                <w:b/>
                <w:bCs/>
              </w:rPr>
            </w:pPr>
          </w:p>
        </w:tc>
      </w:tr>
      <w:tr w:rsidR="006101E8" w14:paraId="74026A79" w14:textId="77777777" w:rsidTr="006101E8">
        <w:tc>
          <w:tcPr>
            <w:tcW w:w="3005" w:type="dxa"/>
          </w:tcPr>
          <w:p w14:paraId="30AB4842" w14:textId="4AC2AB6E" w:rsidR="006101E8" w:rsidRDefault="006101E8" w:rsidP="00582C0D">
            <w:r>
              <w:t>Average total remuneration</w:t>
            </w:r>
          </w:p>
        </w:tc>
        <w:tc>
          <w:tcPr>
            <w:tcW w:w="3005" w:type="dxa"/>
          </w:tcPr>
          <w:p w14:paraId="35FFCC1E" w14:textId="4CEDDC9B" w:rsidR="006101E8" w:rsidRDefault="006101E8" w:rsidP="00582C0D">
            <w:r>
              <w:t>10.3%</w:t>
            </w:r>
          </w:p>
        </w:tc>
        <w:tc>
          <w:tcPr>
            <w:tcW w:w="3006" w:type="dxa"/>
          </w:tcPr>
          <w:p w14:paraId="314660F5" w14:textId="6ABF2A78" w:rsidR="006101E8" w:rsidRDefault="006101E8" w:rsidP="00582C0D">
            <w:r>
              <w:t>9.6%</w:t>
            </w:r>
          </w:p>
        </w:tc>
      </w:tr>
      <w:tr w:rsidR="006101E8" w14:paraId="53983E91" w14:textId="77777777" w:rsidTr="006101E8">
        <w:tc>
          <w:tcPr>
            <w:tcW w:w="3005" w:type="dxa"/>
          </w:tcPr>
          <w:p w14:paraId="1BBB8B23" w14:textId="57A334F0" w:rsidR="006101E8" w:rsidRDefault="00557B52" w:rsidP="00582C0D">
            <w:r>
              <w:t>Median total remuneration</w:t>
            </w:r>
          </w:p>
        </w:tc>
        <w:tc>
          <w:tcPr>
            <w:tcW w:w="3005" w:type="dxa"/>
          </w:tcPr>
          <w:p w14:paraId="04D575D7" w14:textId="26400B8D" w:rsidR="006101E8" w:rsidRDefault="00557B52" w:rsidP="00582C0D">
            <w:r>
              <w:t>4.0%</w:t>
            </w:r>
          </w:p>
        </w:tc>
        <w:tc>
          <w:tcPr>
            <w:tcW w:w="3006" w:type="dxa"/>
          </w:tcPr>
          <w:p w14:paraId="0C166E75" w14:textId="63CAC75A" w:rsidR="006101E8" w:rsidRDefault="00557B52" w:rsidP="00582C0D">
            <w:r>
              <w:t>5.5%</w:t>
            </w:r>
          </w:p>
        </w:tc>
      </w:tr>
      <w:tr w:rsidR="006101E8" w14:paraId="3A1E6F9C" w14:textId="77777777" w:rsidTr="006101E8">
        <w:tc>
          <w:tcPr>
            <w:tcW w:w="3005" w:type="dxa"/>
          </w:tcPr>
          <w:p w14:paraId="12A52622" w14:textId="4A094D2B" w:rsidR="006101E8" w:rsidRDefault="00557B52" w:rsidP="00582C0D">
            <w:r>
              <w:t>Average base salary</w:t>
            </w:r>
          </w:p>
        </w:tc>
        <w:tc>
          <w:tcPr>
            <w:tcW w:w="3005" w:type="dxa"/>
          </w:tcPr>
          <w:p w14:paraId="64B49794" w14:textId="305CCE53" w:rsidR="006101E8" w:rsidRDefault="00557B52" w:rsidP="00582C0D">
            <w:r>
              <w:t>9.3%</w:t>
            </w:r>
          </w:p>
        </w:tc>
        <w:tc>
          <w:tcPr>
            <w:tcW w:w="3006" w:type="dxa"/>
          </w:tcPr>
          <w:p w14:paraId="7F27EF90" w14:textId="662D72C2" w:rsidR="006101E8" w:rsidRDefault="00557B52" w:rsidP="00582C0D">
            <w:r>
              <w:t>8.4%</w:t>
            </w:r>
          </w:p>
        </w:tc>
      </w:tr>
      <w:tr w:rsidR="006101E8" w14:paraId="30741985" w14:textId="77777777" w:rsidTr="006101E8">
        <w:tc>
          <w:tcPr>
            <w:tcW w:w="3005" w:type="dxa"/>
          </w:tcPr>
          <w:p w14:paraId="3CAC76BC" w14:textId="7EE6510E" w:rsidR="006101E8" w:rsidRDefault="00557B52" w:rsidP="00582C0D">
            <w:r>
              <w:t>Median base salary</w:t>
            </w:r>
          </w:p>
        </w:tc>
        <w:tc>
          <w:tcPr>
            <w:tcW w:w="3005" w:type="dxa"/>
          </w:tcPr>
          <w:p w14:paraId="3F53D394" w14:textId="56B86664" w:rsidR="006101E8" w:rsidRDefault="00557B52" w:rsidP="00582C0D">
            <w:r>
              <w:t>6.1%</w:t>
            </w:r>
          </w:p>
        </w:tc>
        <w:tc>
          <w:tcPr>
            <w:tcW w:w="3006" w:type="dxa"/>
          </w:tcPr>
          <w:p w14:paraId="0DE8A0F9" w14:textId="7D77525E" w:rsidR="006101E8" w:rsidRDefault="00557B52" w:rsidP="00582C0D">
            <w:r>
              <w:t>5.0%</w:t>
            </w:r>
          </w:p>
        </w:tc>
      </w:tr>
    </w:tbl>
    <w:p w14:paraId="5AC0F8DD" w14:textId="77777777" w:rsidR="006101E8" w:rsidRDefault="006101E8" w:rsidP="00582C0D"/>
    <w:p w14:paraId="541776FE" w14:textId="7084CF6B" w:rsidR="00695B54" w:rsidRDefault="00695B54" w:rsidP="00695B54">
      <w:r>
        <w:t>The gender pay gap is the difference between the average or median earnings of men and women in an organisation. The gender pay gap is expressed as a percentage of men’s</w:t>
      </w:r>
      <w:r>
        <w:t xml:space="preserve"> </w:t>
      </w:r>
      <w:r>
        <w:t>earnings.</w:t>
      </w:r>
    </w:p>
    <w:p w14:paraId="66BF5067" w14:textId="77777777" w:rsidR="00A157F8" w:rsidRPr="00A157F8" w:rsidRDefault="00A157F8" w:rsidP="00A157F8">
      <w:pPr>
        <w:rPr>
          <w:b/>
          <w:bCs/>
        </w:rPr>
      </w:pPr>
      <w:r w:rsidRPr="00A157F8">
        <w:rPr>
          <w:b/>
          <w:bCs/>
        </w:rPr>
        <w:t>Gender composition by pay quartile</w:t>
      </w:r>
    </w:p>
    <w:p w14:paraId="5AEE5A1C" w14:textId="5BED7640" w:rsidR="00A71BB6" w:rsidRPr="00046AB7" w:rsidRDefault="0057067C" w:rsidP="00046AB7">
      <w:pPr>
        <w:pStyle w:val="ListParagraph"/>
        <w:numPr>
          <w:ilvl w:val="0"/>
          <w:numId w:val="4"/>
        </w:numPr>
      </w:pPr>
      <w:r w:rsidRPr="00046AB7">
        <w:t>Total Workforce = 60% women, 40% men</w:t>
      </w:r>
    </w:p>
    <w:p w14:paraId="50F41B5A" w14:textId="2C121563" w:rsidR="0057067C" w:rsidRPr="00046AB7" w:rsidRDefault="0057067C" w:rsidP="00046AB7">
      <w:pPr>
        <w:pStyle w:val="ListParagraph"/>
        <w:numPr>
          <w:ilvl w:val="0"/>
          <w:numId w:val="4"/>
        </w:numPr>
      </w:pPr>
      <w:r w:rsidRPr="00046AB7">
        <w:t>Upper Quartile = 50% women, 50% men</w:t>
      </w:r>
    </w:p>
    <w:p w14:paraId="2C529E41" w14:textId="10D7419D" w:rsidR="0057067C" w:rsidRPr="00046AB7" w:rsidRDefault="0057067C" w:rsidP="00046AB7">
      <w:pPr>
        <w:pStyle w:val="ListParagraph"/>
        <w:numPr>
          <w:ilvl w:val="0"/>
          <w:numId w:val="4"/>
        </w:numPr>
      </w:pPr>
      <w:r w:rsidRPr="00046AB7">
        <w:t>Upper Middle Quartile = 63% women, 37% men</w:t>
      </w:r>
    </w:p>
    <w:p w14:paraId="68445345" w14:textId="3FD289C7" w:rsidR="00CF23A5" w:rsidRPr="00046AB7" w:rsidRDefault="00CF23A5" w:rsidP="00046AB7">
      <w:pPr>
        <w:pStyle w:val="ListParagraph"/>
        <w:numPr>
          <w:ilvl w:val="0"/>
          <w:numId w:val="4"/>
        </w:numPr>
      </w:pPr>
      <w:r w:rsidRPr="00046AB7">
        <w:t>Lower Middle Quartile = 63% women, 37% men</w:t>
      </w:r>
    </w:p>
    <w:p w14:paraId="11451A42" w14:textId="05490FFE" w:rsidR="00CF23A5" w:rsidRPr="00046AB7" w:rsidRDefault="00CF23A5" w:rsidP="00046AB7">
      <w:pPr>
        <w:pStyle w:val="ListParagraph"/>
        <w:numPr>
          <w:ilvl w:val="0"/>
          <w:numId w:val="4"/>
        </w:numPr>
      </w:pPr>
      <w:r w:rsidRPr="00046AB7">
        <w:t>Lower Quartile = 66% women, 34% men</w:t>
      </w:r>
    </w:p>
    <w:p w14:paraId="3F8553A6" w14:textId="38D06C4F" w:rsidR="00C42AFD" w:rsidRDefault="00C42AFD" w:rsidP="00C42AFD">
      <w:pPr>
        <w:rPr>
          <w:b/>
          <w:bCs/>
        </w:rPr>
      </w:pPr>
      <w:r w:rsidRPr="00C42AFD">
        <w:rPr>
          <w:b/>
          <w:bCs/>
        </w:rPr>
        <w:t>Drivers of the gender pay gap</w:t>
      </w:r>
    </w:p>
    <w:p w14:paraId="78E6D407" w14:textId="77777777" w:rsidR="00C42AFD" w:rsidRDefault="00C42AFD" w:rsidP="00C42AFD">
      <w:r>
        <w:t xml:space="preserve">A key driver of the gender pay gap is lower representation of women in senior academic roles. </w:t>
      </w:r>
    </w:p>
    <w:p w14:paraId="008900DA" w14:textId="77777777" w:rsidR="005C4116" w:rsidRPr="005C4116" w:rsidRDefault="005C4116" w:rsidP="005C4116">
      <w:pPr>
        <w:rPr>
          <w:b/>
          <w:bCs/>
        </w:rPr>
      </w:pPr>
      <w:r w:rsidRPr="005C4116">
        <w:rPr>
          <w:b/>
          <w:bCs/>
        </w:rPr>
        <w:t>Key actions underway</w:t>
      </w:r>
    </w:p>
    <w:p w14:paraId="384ECD05" w14:textId="2243F404" w:rsidR="00582C0D" w:rsidRDefault="00582C0D" w:rsidP="00582C0D">
      <w:r>
        <w:t>The University is continuing its efforts to increase the</w:t>
      </w:r>
      <w:r w:rsidR="00C42AFD">
        <w:t xml:space="preserve"> </w:t>
      </w:r>
      <w:r>
        <w:t>proportion of women in senior academic roles through a</w:t>
      </w:r>
      <w:r w:rsidR="00C42AFD">
        <w:t xml:space="preserve"> </w:t>
      </w:r>
      <w:r>
        <w:t>range of targeted initiatives under the Athena Swan program</w:t>
      </w:r>
      <w:r w:rsidR="00C42AFD">
        <w:t xml:space="preserve"> </w:t>
      </w:r>
      <w:r>
        <w:t>and our Gender Equality Action Plan. This includes:</w:t>
      </w:r>
    </w:p>
    <w:p w14:paraId="421C08B1" w14:textId="1906304E" w:rsidR="00582C0D" w:rsidRDefault="00582C0D" w:rsidP="00ED31F6">
      <w:pPr>
        <w:pStyle w:val="ListParagraph"/>
        <w:numPr>
          <w:ilvl w:val="0"/>
          <w:numId w:val="2"/>
        </w:numPr>
      </w:pPr>
      <w:r>
        <w:lastRenderedPageBreak/>
        <w:t>Performance Relative to Opportunity within policy</w:t>
      </w:r>
    </w:p>
    <w:p w14:paraId="681BD7FA" w14:textId="1C27A028" w:rsidR="00582C0D" w:rsidRDefault="00582C0D" w:rsidP="00ED31F6">
      <w:pPr>
        <w:pStyle w:val="ListParagraph"/>
        <w:numPr>
          <w:ilvl w:val="0"/>
          <w:numId w:val="2"/>
        </w:numPr>
      </w:pPr>
      <w:r>
        <w:t>A refreshed Academic Women in Leadership program</w:t>
      </w:r>
    </w:p>
    <w:p w14:paraId="5F1E5A3B" w14:textId="739A473B" w:rsidR="00582C0D" w:rsidRDefault="00582C0D" w:rsidP="00ED31F6">
      <w:pPr>
        <w:pStyle w:val="ListParagraph"/>
        <w:numPr>
          <w:ilvl w:val="0"/>
          <w:numId w:val="2"/>
        </w:numPr>
      </w:pPr>
      <w:r>
        <w:t>Mentoring programs</w:t>
      </w:r>
    </w:p>
    <w:p w14:paraId="2A788238" w14:textId="53AAB79D" w:rsidR="00582C0D" w:rsidRDefault="00582C0D" w:rsidP="00ED31F6">
      <w:pPr>
        <w:pStyle w:val="ListParagraph"/>
        <w:numPr>
          <w:ilvl w:val="0"/>
          <w:numId w:val="2"/>
        </w:numPr>
      </w:pPr>
      <w:r>
        <w:t>Women’s promotion briefings</w:t>
      </w:r>
    </w:p>
    <w:p w14:paraId="6C2870B0" w14:textId="21C41243" w:rsidR="00582C0D" w:rsidRDefault="00582C0D" w:rsidP="00ED31F6">
      <w:pPr>
        <w:pStyle w:val="ListParagraph"/>
        <w:numPr>
          <w:ilvl w:val="0"/>
          <w:numId w:val="2"/>
        </w:numPr>
      </w:pPr>
      <w:r>
        <w:t>Career interruption schemes</w:t>
      </w:r>
    </w:p>
    <w:p w14:paraId="00D208F4" w14:textId="79F847E1" w:rsidR="00582C0D" w:rsidRDefault="00582C0D" w:rsidP="00582C0D">
      <w:r>
        <w:t>These targeted initiatives are in addition to our ongoing</w:t>
      </w:r>
      <w:r w:rsidR="0090255A">
        <w:t xml:space="preserve"> </w:t>
      </w:r>
      <w:r>
        <w:t>policies and practices that support gender equity outcomes</w:t>
      </w:r>
      <w:r w:rsidR="0090255A">
        <w:t xml:space="preserve"> </w:t>
      </w:r>
      <w:r>
        <w:t>including sector leading parental leave provisions, flexible</w:t>
      </w:r>
      <w:r w:rsidR="0090255A">
        <w:t xml:space="preserve"> </w:t>
      </w:r>
      <w:r>
        <w:t xml:space="preserve">work policy, and affirmative recruitment strategies. </w:t>
      </w:r>
    </w:p>
    <w:p w14:paraId="14AE3A48" w14:textId="1DA871E7" w:rsidR="00582C0D" w:rsidRDefault="00582C0D" w:rsidP="00582C0D">
      <w:r>
        <w:t>More information is available on our Gender Equity web page</w:t>
      </w:r>
      <w:r w:rsidR="009C0912">
        <w:t xml:space="preserve">: </w:t>
      </w:r>
      <w:hyperlink r:id="rId5" w:history="1">
        <w:r w:rsidR="009C0912" w:rsidRPr="009C0912">
          <w:rPr>
            <w:rStyle w:val="Hyperlink"/>
          </w:rPr>
          <w:t>Gender equity</w:t>
        </w:r>
      </w:hyperlink>
      <w:r>
        <w:t xml:space="preserve"> </w:t>
      </w:r>
    </w:p>
    <w:p w14:paraId="05D5FAB3" w14:textId="359A387D" w:rsidR="00582C0D" w:rsidRPr="00F11E26" w:rsidRDefault="00582C0D" w:rsidP="00582C0D">
      <w:pPr>
        <w:rPr>
          <w:b/>
          <w:bCs/>
        </w:rPr>
      </w:pPr>
      <w:r w:rsidRPr="00F11E26">
        <w:rPr>
          <w:b/>
          <w:bCs/>
        </w:rPr>
        <w:t>Further actions to address gaps and</w:t>
      </w:r>
      <w:r w:rsidR="00F11E26" w:rsidRPr="00F11E26">
        <w:rPr>
          <w:b/>
          <w:bCs/>
        </w:rPr>
        <w:t xml:space="preserve"> </w:t>
      </w:r>
      <w:r w:rsidRPr="00F11E26">
        <w:rPr>
          <w:b/>
          <w:bCs/>
        </w:rPr>
        <w:t>amplify our existing strengths</w:t>
      </w:r>
    </w:p>
    <w:p w14:paraId="21ACDFB0" w14:textId="5B1CB8BF" w:rsidR="00582C0D" w:rsidRDefault="00582C0D" w:rsidP="00582C0D">
      <w:r>
        <w:t>Future actions to help understand and create opportunities to address the gender pay gap include:</w:t>
      </w:r>
    </w:p>
    <w:p w14:paraId="488918BC" w14:textId="6F6F6636" w:rsidR="00582C0D" w:rsidRDefault="00582C0D" w:rsidP="00F11E26">
      <w:pPr>
        <w:pStyle w:val="ListParagraph"/>
        <w:numPr>
          <w:ilvl w:val="0"/>
          <w:numId w:val="3"/>
        </w:numPr>
      </w:pPr>
      <w:r>
        <w:t>Reviewing and analysing parity (comparison of</w:t>
      </w:r>
      <w:r w:rsidR="00F11E26">
        <w:t xml:space="preserve"> </w:t>
      </w:r>
      <w:r>
        <w:t>remuneration of genders across job classifications)</w:t>
      </w:r>
      <w:r w:rsidR="00F11E26">
        <w:t xml:space="preserve"> </w:t>
      </w:r>
      <w:r>
        <w:t>to explore the potential impact of occupational</w:t>
      </w:r>
      <w:r w:rsidR="00F11E26">
        <w:t xml:space="preserve"> </w:t>
      </w:r>
      <w:r>
        <w:t>segregation at the University on pay parity.</w:t>
      </w:r>
    </w:p>
    <w:p w14:paraId="24E257BD" w14:textId="6764194C" w:rsidR="00582C0D" w:rsidRDefault="00582C0D" w:rsidP="00F11E26">
      <w:pPr>
        <w:pStyle w:val="ListParagraph"/>
        <w:numPr>
          <w:ilvl w:val="0"/>
          <w:numId w:val="3"/>
        </w:numPr>
      </w:pPr>
      <w:r>
        <w:t xml:space="preserve">Introducing regular reporting of pay parity analysis. </w:t>
      </w:r>
    </w:p>
    <w:p w14:paraId="41C66C53" w14:textId="48CA2325" w:rsidR="00C42AFD" w:rsidRPr="00F11E26" w:rsidRDefault="00582C0D" w:rsidP="00F11E26">
      <w:pPr>
        <w:pStyle w:val="ListParagraph"/>
        <w:numPr>
          <w:ilvl w:val="0"/>
          <w:numId w:val="3"/>
        </w:numPr>
      </w:pPr>
      <w:r>
        <w:t>Developing new education programs and</w:t>
      </w:r>
      <w:r w:rsidR="00F11E26">
        <w:t xml:space="preserve"> </w:t>
      </w:r>
      <w:r>
        <w:t>better communicating the drivers of the</w:t>
      </w:r>
      <w:r w:rsidR="00F11E26">
        <w:t xml:space="preserve"> </w:t>
      </w:r>
      <w:r>
        <w:t>pay gap and actions to address it.</w:t>
      </w:r>
    </w:p>
    <w:p w14:paraId="0FF08FCF" w14:textId="07E4C5C9" w:rsidR="00582C0D" w:rsidRDefault="00582C0D" w:rsidP="00F11E26">
      <w:pPr>
        <w:pStyle w:val="ListParagraph"/>
        <w:numPr>
          <w:ilvl w:val="0"/>
          <w:numId w:val="3"/>
        </w:numPr>
      </w:pPr>
      <w:r>
        <w:t>Conducting further analysis of data to consider gender balance by employment type and by divisions</w:t>
      </w:r>
      <w:r w:rsidR="00F11E26">
        <w:t xml:space="preserve"> </w:t>
      </w:r>
      <w:r>
        <w:t>within the University to consider and help address</w:t>
      </w:r>
      <w:r w:rsidR="00F11E26">
        <w:t xml:space="preserve"> </w:t>
      </w:r>
      <w:r>
        <w:t>unique workforce challenges across our institution.</w:t>
      </w:r>
    </w:p>
    <w:p w14:paraId="1AC9AB3A" w14:textId="670F5AA3" w:rsidR="00582C0D" w:rsidRDefault="00582C0D" w:rsidP="00F11E26">
      <w:pPr>
        <w:pStyle w:val="ListParagraph"/>
        <w:numPr>
          <w:ilvl w:val="0"/>
          <w:numId w:val="3"/>
        </w:numPr>
      </w:pPr>
      <w:r>
        <w:t>Developing a new Gender Equality Action Plan.</w:t>
      </w:r>
    </w:p>
    <w:p w14:paraId="6D80405E" w14:textId="13B933EB" w:rsidR="00582C0D" w:rsidRDefault="00582C0D" w:rsidP="00582C0D"/>
    <w:sectPr w:rsidR="00582C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23ECC"/>
    <w:multiLevelType w:val="hybridMultilevel"/>
    <w:tmpl w:val="C83651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D1C7F"/>
    <w:multiLevelType w:val="hybridMultilevel"/>
    <w:tmpl w:val="F95E45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C5D6E"/>
    <w:multiLevelType w:val="hybridMultilevel"/>
    <w:tmpl w:val="43A215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B7750"/>
    <w:multiLevelType w:val="hybridMultilevel"/>
    <w:tmpl w:val="EEFCD8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464188">
    <w:abstractNumId w:val="1"/>
  </w:num>
  <w:num w:numId="2" w16cid:durableId="1723167146">
    <w:abstractNumId w:val="3"/>
  </w:num>
  <w:num w:numId="3" w16cid:durableId="1873421349">
    <w:abstractNumId w:val="2"/>
  </w:num>
  <w:num w:numId="4" w16cid:durableId="752552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0D"/>
    <w:rsid w:val="00046AB7"/>
    <w:rsid w:val="001B7B17"/>
    <w:rsid w:val="003A0CCE"/>
    <w:rsid w:val="003C3E86"/>
    <w:rsid w:val="00451451"/>
    <w:rsid w:val="00557B52"/>
    <w:rsid w:val="00561799"/>
    <w:rsid w:val="0057067C"/>
    <w:rsid w:val="00580826"/>
    <w:rsid w:val="00582C0D"/>
    <w:rsid w:val="005C4116"/>
    <w:rsid w:val="006101E8"/>
    <w:rsid w:val="00695B54"/>
    <w:rsid w:val="00830846"/>
    <w:rsid w:val="0090255A"/>
    <w:rsid w:val="009C0912"/>
    <w:rsid w:val="00A157F8"/>
    <w:rsid w:val="00A55D30"/>
    <w:rsid w:val="00A628FF"/>
    <w:rsid w:val="00A71BB6"/>
    <w:rsid w:val="00B704D9"/>
    <w:rsid w:val="00C42AFD"/>
    <w:rsid w:val="00CF23A5"/>
    <w:rsid w:val="00D84B38"/>
    <w:rsid w:val="00E01220"/>
    <w:rsid w:val="00ED31F6"/>
    <w:rsid w:val="00F1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B26EA"/>
  <w15:chartTrackingRefBased/>
  <w15:docId w15:val="{815EF1AB-788E-4BD3-B191-6BEDDA5C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C0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C0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C0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82C0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82C0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8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C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10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09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bout.unimelb.edu.au/diversity-inclusion/gender-equi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370</Words>
  <Characters>2546</Characters>
  <Application>Microsoft Office Word</Application>
  <DocSecurity>0</DocSecurity>
  <Lines>94</Lines>
  <Paragraphs>104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Hutchinson</dc:creator>
  <cp:keywords/>
  <dc:description/>
  <cp:lastModifiedBy>Belinda Hutchinson</cp:lastModifiedBy>
  <cp:revision>26</cp:revision>
  <dcterms:created xsi:type="dcterms:W3CDTF">2026-03-03T00:47:00Z</dcterms:created>
  <dcterms:modified xsi:type="dcterms:W3CDTF">2026-03-03T01:32:00Z</dcterms:modified>
</cp:coreProperties>
</file>