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368FD" w14:textId="360C6AF4" w:rsidR="005D2B98" w:rsidRDefault="005D2B98" w:rsidP="00E742C2">
      <w:pPr>
        <w:rPr>
          <w:rFonts w:ascii="Georgia" w:hAnsi="Georgia"/>
          <w:b/>
          <w:bCs/>
          <w:sz w:val="28"/>
          <w:szCs w:val="28"/>
        </w:rPr>
      </w:pPr>
      <w:r w:rsidRPr="00434D8D">
        <w:rPr>
          <w:rFonts w:ascii="Calibri" w:eastAsia="SimSun" w:hAnsi="Calibri" w:cs="Times New Roman"/>
          <w:noProof/>
          <w:sz w:val="24"/>
          <w:lang w:val="en-AU"/>
        </w:rPr>
        <w:drawing>
          <wp:inline distT="0" distB="0" distL="0" distR="0" wp14:anchorId="6AC6BF51" wp14:editId="65A67D2F">
            <wp:extent cx="1257300" cy="1257300"/>
            <wp:effectExtent l="0" t="0" r="0" b="0"/>
            <wp:docPr id="18" name="Pictur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a:extLst>
                        <a:ext uri="{C183D7F6-B498-43B3-948B-1728B52AA6E4}">
                          <adec:decorative xmlns:adec="http://schemas.microsoft.com/office/drawing/2017/decorative" val="1"/>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inline>
        </w:drawing>
      </w:r>
    </w:p>
    <w:p w14:paraId="26F43436" w14:textId="1327D8E8" w:rsidR="005D2B98" w:rsidRPr="00434D8D" w:rsidRDefault="005D2B98" w:rsidP="005D2B98">
      <w:pPr>
        <w:spacing w:before="200" w:after="0" w:line="168" w:lineRule="auto"/>
        <w:contextualSpacing/>
        <w:rPr>
          <w:rFonts w:ascii="Calibri" w:eastAsia="SimSun" w:hAnsi="Calibri" w:cs="Times New Roman"/>
          <w:color w:val="094183"/>
          <w:sz w:val="40"/>
          <w:szCs w:val="40"/>
          <w:lang w:val="en-AU"/>
        </w:rPr>
      </w:pPr>
    </w:p>
    <w:p w14:paraId="0183B1B8" w14:textId="7519EC99" w:rsidR="005D2B98" w:rsidRPr="00434D8D" w:rsidRDefault="005D2B98" w:rsidP="005D2B98">
      <w:pPr>
        <w:spacing w:before="120" w:after="360" w:line="264" w:lineRule="auto"/>
        <w:contextualSpacing/>
        <w:rPr>
          <w:rFonts w:ascii="Calibri" w:eastAsia="SimSun" w:hAnsi="Calibri" w:cs="Times New Roman"/>
          <w:b/>
          <w:bCs/>
          <w:color w:val="FFFFFF"/>
          <w:sz w:val="28"/>
          <w:lang w:val="en-AU"/>
        </w:rPr>
      </w:pPr>
    </w:p>
    <w:p w14:paraId="344598DD" w14:textId="77777777" w:rsidR="005D2B98" w:rsidRPr="00434D8D" w:rsidRDefault="005D2B98" w:rsidP="005D2B98">
      <w:pPr>
        <w:spacing w:before="120" w:after="360" w:line="264" w:lineRule="auto"/>
        <w:contextualSpacing/>
        <w:rPr>
          <w:rFonts w:ascii="Calibri" w:eastAsia="SimSun" w:hAnsi="Calibri" w:cs="Times New Roman"/>
          <w:color w:val="094183"/>
          <w:sz w:val="28"/>
          <w:lang w:val="en-AU"/>
        </w:rPr>
      </w:pPr>
    </w:p>
    <w:p w14:paraId="6D0638E4" w14:textId="77777777" w:rsidR="005D2B98" w:rsidRPr="00434D8D" w:rsidRDefault="005D2B98" w:rsidP="005D2B98">
      <w:pPr>
        <w:spacing w:before="120" w:after="360" w:line="264" w:lineRule="auto"/>
        <w:contextualSpacing/>
        <w:rPr>
          <w:rFonts w:ascii="Calibri" w:eastAsia="SimSun" w:hAnsi="Calibri" w:cs="Times New Roman"/>
          <w:color w:val="094183"/>
          <w:sz w:val="28"/>
          <w:lang w:val="en-AU"/>
        </w:rPr>
      </w:pPr>
    </w:p>
    <w:p w14:paraId="22C169AB" w14:textId="77777777" w:rsidR="005D2B98" w:rsidRPr="00434D8D" w:rsidRDefault="005D2B98" w:rsidP="005D2B98">
      <w:pPr>
        <w:spacing w:after="120" w:line="264" w:lineRule="auto"/>
        <w:rPr>
          <w:rFonts w:ascii="Calibri" w:eastAsia="SimSun" w:hAnsi="Calibri" w:cs="Times New Roman"/>
          <w:sz w:val="24"/>
          <w:lang w:val="en-AU"/>
        </w:rPr>
      </w:pPr>
    </w:p>
    <w:p w14:paraId="70FF9777" w14:textId="06E180C7" w:rsidR="005D2B98" w:rsidRPr="00BB3E8F" w:rsidRDefault="0069102B" w:rsidP="009433F7">
      <w:pPr>
        <w:framePr w:w="9523" w:hSpace="2835" w:wrap="around" w:vAnchor="page" w:hAnchor="margin" w:y="5104" w:anchorLock="1"/>
        <w:spacing w:after="0" w:line="240" w:lineRule="auto"/>
        <w:contextualSpacing/>
        <w:rPr>
          <w:rFonts w:ascii="Georgia" w:eastAsia="SimHei" w:hAnsi="Georgia" w:cs="Times New Roman"/>
          <w:b/>
          <w:color w:val="094183"/>
          <w:spacing w:val="-10"/>
          <w:kern w:val="28"/>
          <w:sz w:val="48"/>
          <w:szCs w:val="56"/>
          <w:lang w:val="en-AU"/>
        </w:rPr>
      </w:pPr>
      <w:sdt>
        <w:sdtPr>
          <w:rPr>
            <w:rFonts w:ascii="Georgia" w:eastAsia="SimHei" w:hAnsi="Georgia" w:cs="Times New Roman"/>
            <w:b/>
            <w:color w:val="094183"/>
            <w:spacing w:val="-10"/>
            <w:kern w:val="28"/>
            <w:sz w:val="48"/>
            <w:szCs w:val="56"/>
            <w:lang w:val="en-AU"/>
          </w:rPr>
          <w:alias w:val="Title"/>
          <w:tag w:val=""/>
          <w:id w:val="-76902034"/>
          <w:placeholder>
            <w:docPart w:val="5D588CB01F9745B5A26CCFDCD0633352"/>
          </w:placeholder>
          <w:dataBinding w:prefixMappings="xmlns:ns0='http://purl.org/dc/elements/1.1/' xmlns:ns1='http://schemas.openxmlformats.org/package/2006/metadata/core-properties' " w:xpath="/ns1:coreProperties[1]/ns0:title[1]" w:storeItemID="{6C3C8BC8-F283-45AE-878A-BAB7291924A1}"/>
          <w:text/>
        </w:sdtPr>
        <w:sdtEndPr/>
        <w:sdtContent>
          <w:r w:rsidR="00595458">
            <w:rPr>
              <w:rFonts w:ascii="Georgia" w:eastAsia="SimHei" w:hAnsi="Georgia" w:cs="Times New Roman"/>
              <w:b/>
              <w:color w:val="094183"/>
              <w:spacing w:val="-10"/>
              <w:kern w:val="28"/>
              <w:sz w:val="48"/>
              <w:szCs w:val="56"/>
              <w:lang w:val="en-AU"/>
            </w:rPr>
            <w:t>Disability Inclusion Action Plan (DIAP) 2023 - 2026</w:t>
          </w:r>
        </w:sdtContent>
      </w:sdt>
    </w:p>
    <w:p w14:paraId="1862A1F9" w14:textId="77777777" w:rsidR="005D2B98" w:rsidRPr="00434D8D" w:rsidRDefault="005D2B98" w:rsidP="009433F7">
      <w:pPr>
        <w:framePr w:w="9523" w:hSpace="2835" w:wrap="around" w:vAnchor="page" w:hAnchor="margin" w:y="5104" w:anchorLock="1"/>
        <w:spacing w:after="120" w:line="264" w:lineRule="auto"/>
        <w:rPr>
          <w:rFonts w:ascii="Calibri" w:eastAsia="SimSun" w:hAnsi="Calibri" w:cs="Times New Roman"/>
          <w:sz w:val="24"/>
          <w:lang w:val="en-AU"/>
        </w:rPr>
      </w:pPr>
    </w:p>
    <w:sdt>
      <w:sdtPr>
        <w:rPr>
          <w:rFonts w:ascii="Calibri" w:eastAsia="SimSun" w:hAnsi="Calibri" w:cs="Times New Roman"/>
          <w:sz w:val="24"/>
          <w:lang w:val="en-AU"/>
        </w:rPr>
        <w:id w:val="155271618"/>
        <w:placeholder>
          <w:docPart w:val="725D71B779824FE89E194695C3C22043"/>
        </w:placeholder>
        <w:date w:fullDate="2023-03-30T00:00:00Z">
          <w:dateFormat w:val="d MMMM yyyy"/>
          <w:lid w:val="en-AU"/>
          <w:storeMappedDataAs w:val="dateTime"/>
          <w:calendar w:val="gregorian"/>
        </w:date>
      </w:sdtPr>
      <w:sdtEndPr/>
      <w:sdtContent>
        <w:p w14:paraId="1AEC9D1C" w14:textId="5604CF0C" w:rsidR="005D2B98" w:rsidRPr="00434D8D" w:rsidRDefault="00E575FE" w:rsidP="009433F7">
          <w:pPr>
            <w:framePr w:w="9523" w:hSpace="2835" w:wrap="around" w:vAnchor="page" w:hAnchor="margin" w:y="5104" w:anchorLock="1"/>
            <w:spacing w:after="120" w:line="264" w:lineRule="auto"/>
            <w:rPr>
              <w:rFonts w:ascii="Calibri" w:eastAsia="SimSun" w:hAnsi="Calibri" w:cs="Times New Roman"/>
              <w:sz w:val="24"/>
              <w:lang w:val="en-AU"/>
            </w:rPr>
          </w:pPr>
          <w:r>
            <w:rPr>
              <w:rFonts w:ascii="Calibri" w:eastAsia="SimSun" w:hAnsi="Calibri" w:cs="Times New Roman"/>
              <w:sz w:val="24"/>
              <w:lang w:val="en-AU"/>
            </w:rPr>
            <w:t>30 March 2023</w:t>
          </w:r>
        </w:p>
      </w:sdtContent>
    </w:sdt>
    <w:p w14:paraId="4BA22863" w14:textId="77777777" w:rsidR="005D2B98" w:rsidRDefault="005D2B98" w:rsidP="005D2B98"/>
    <w:p w14:paraId="705EA60B" w14:textId="77777777" w:rsidR="005D2B98" w:rsidRDefault="005D2B98" w:rsidP="005D2B98"/>
    <w:p w14:paraId="100044D4" w14:textId="77777777" w:rsidR="005D2B98" w:rsidRDefault="005D2B98" w:rsidP="005D2B98"/>
    <w:p w14:paraId="12D12BD4" w14:textId="77777777" w:rsidR="005D2B98" w:rsidRDefault="005D2B98" w:rsidP="005D2B98"/>
    <w:p w14:paraId="678983BB" w14:textId="218F7A26" w:rsidR="005D2B98" w:rsidRDefault="005D2B98" w:rsidP="005D2B98">
      <w:pPr>
        <w:pStyle w:val="TOCHeading"/>
      </w:pPr>
      <w:r>
        <w:br w:type="page"/>
      </w:r>
    </w:p>
    <w:sdt>
      <w:sdtPr>
        <w:rPr>
          <w:rFonts w:asciiTheme="minorHAnsi" w:eastAsiaTheme="minorEastAsia" w:hAnsiTheme="minorHAnsi" w:cs="Times New Roman"/>
          <w:color w:val="auto"/>
          <w:sz w:val="22"/>
          <w:szCs w:val="22"/>
        </w:rPr>
        <w:id w:val="855926511"/>
        <w:docPartObj>
          <w:docPartGallery w:val="Table of Contents"/>
          <w:docPartUnique/>
        </w:docPartObj>
      </w:sdtPr>
      <w:sdtEndPr/>
      <w:sdtContent>
        <w:p w14:paraId="4F495516" w14:textId="77777777" w:rsidR="00A2536D" w:rsidRDefault="00A2536D" w:rsidP="005D2B98">
          <w:pPr>
            <w:pStyle w:val="TOCHeading"/>
            <w:rPr>
              <w:rFonts w:asciiTheme="minorHAnsi" w:eastAsiaTheme="minorEastAsia" w:hAnsiTheme="minorHAnsi" w:cs="Times New Roman"/>
              <w:color w:val="auto"/>
              <w:sz w:val="22"/>
              <w:szCs w:val="22"/>
            </w:rPr>
          </w:pPr>
        </w:p>
        <w:p w14:paraId="73D9B2B9" w14:textId="6870ED37" w:rsidR="005D2B98" w:rsidRPr="006E2F7D" w:rsidRDefault="005D2B98" w:rsidP="005D2B98">
          <w:pPr>
            <w:pStyle w:val="TOCHeading"/>
            <w:rPr>
              <w:rFonts w:ascii="Georgia" w:hAnsi="Georgia"/>
              <w:b/>
              <w:bCs/>
            </w:rPr>
          </w:pPr>
          <w:r w:rsidRPr="006E2F7D">
            <w:rPr>
              <w:rFonts w:ascii="Georgia" w:hAnsi="Georgia"/>
              <w:b/>
              <w:bCs/>
            </w:rPr>
            <w:t>Contents</w:t>
          </w:r>
        </w:p>
        <w:p w14:paraId="4C05AE4F" w14:textId="77777777" w:rsidR="005029E8" w:rsidRDefault="005029E8" w:rsidP="005D2B98">
          <w:pPr>
            <w:pStyle w:val="TOC1"/>
          </w:pPr>
        </w:p>
        <w:p w14:paraId="01AA6789" w14:textId="013792C1" w:rsidR="005D2B98" w:rsidRPr="008F7341" w:rsidRDefault="005D2B98" w:rsidP="005D2B98">
          <w:pPr>
            <w:pStyle w:val="TOC1"/>
            <w:rPr>
              <w:sz w:val="24"/>
              <w:szCs w:val="24"/>
            </w:rPr>
          </w:pPr>
          <w:r w:rsidRPr="008F7341">
            <w:rPr>
              <w:sz w:val="24"/>
              <w:szCs w:val="24"/>
            </w:rPr>
            <w:t>Acknowledgement of Traditional Owners</w:t>
          </w:r>
          <w:r w:rsidRPr="008F7341">
            <w:rPr>
              <w:sz w:val="24"/>
              <w:szCs w:val="24"/>
            </w:rPr>
            <w:ptab w:relativeTo="margin" w:alignment="right" w:leader="dot"/>
          </w:r>
          <w:r w:rsidRPr="008F7341">
            <w:rPr>
              <w:sz w:val="24"/>
              <w:szCs w:val="24"/>
            </w:rPr>
            <w:t>3</w:t>
          </w:r>
        </w:p>
        <w:p w14:paraId="2839CD7F" w14:textId="77777777" w:rsidR="005029E8" w:rsidRPr="008F7341" w:rsidRDefault="005029E8" w:rsidP="005D2B98">
          <w:pPr>
            <w:pStyle w:val="TOC1"/>
            <w:rPr>
              <w:b/>
              <w:bCs/>
              <w:sz w:val="24"/>
              <w:szCs w:val="24"/>
            </w:rPr>
          </w:pPr>
        </w:p>
        <w:p w14:paraId="01529DDC" w14:textId="6BBC0C89" w:rsidR="005D2B98" w:rsidRPr="008F7341" w:rsidRDefault="005D2B98" w:rsidP="005D2B98">
          <w:pPr>
            <w:pStyle w:val="TOC1"/>
            <w:rPr>
              <w:sz w:val="24"/>
              <w:szCs w:val="24"/>
            </w:rPr>
          </w:pPr>
          <w:r w:rsidRPr="008F7341">
            <w:rPr>
              <w:b/>
              <w:bCs/>
              <w:sz w:val="24"/>
              <w:szCs w:val="24"/>
            </w:rPr>
            <w:t>Introduction</w:t>
          </w:r>
          <w:r w:rsidRPr="008F7341">
            <w:rPr>
              <w:sz w:val="24"/>
              <w:szCs w:val="24"/>
            </w:rPr>
            <w:ptab w:relativeTo="margin" w:alignment="right" w:leader="dot"/>
          </w:r>
          <w:r w:rsidRPr="008F7341">
            <w:rPr>
              <w:b/>
              <w:bCs/>
              <w:sz w:val="24"/>
              <w:szCs w:val="24"/>
            </w:rPr>
            <w:t>4</w:t>
          </w:r>
        </w:p>
        <w:p w14:paraId="61DD290C" w14:textId="77777777" w:rsidR="005029E8" w:rsidRPr="008F7341" w:rsidRDefault="005029E8" w:rsidP="005D2B98">
          <w:pPr>
            <w:pStyle w:val="TOC1"/>
            <w:rPr>
              <w:b/>
              <w:bCs/>
              <w:sz w:val="24"/>
              <w:szCs w:val="24"/>
            </w:rPr>
          </w:pPr>
        </w:p>
        <w:p w14:paraId="597E9F0B" w14:textId="0D3A8CBA" w:rsidR="005D2B98" w:rsidRPr="008F7341" w:rsidRDefault="005D2B98" w:rsidP="005D2B98">
          <w:pPr>
            <w:pStyle w:val="TOC1"/>
            <w:rPr>
              <w:sz w:val="24"/>
              <w:szCs w:val="24"/>
            </w:rPr>
          </w:pPr>
          <w:r w:rsidRPr="008F7341">
            <w:rPr>
              <w:b/>
              <w:bCs/>
              <w:sz w:val="24"/>
              <w:szCs w:val="24"/>
            </w:rPr>
            <w:t>Disability Inclusion Action Plan 2023-2026</w:t>
          </w:r>
        </w:p>
        <w:p w14:paraId="69A85A94" w14:textId="0E67F73E" w:rsidR="005D2B98" w:rsidRPr="008F7341" w:rsidRDefault="005D2B98" w:rsidP="005D2B98">
          <w:pPr>
            <w:pStyle w:val="TOC2"/>
            <w:ind w:left="216"/>
            <w:rPr>
              <w:sz w:val="24"/>
              <w:szCs w:val="24"/>
            </w:rPr>
          </w:pPr>
          <w:r w:rsidRPr="008F7341">
            <w:rPr>
              <w:sz w:val="24"/>
              <w:szCs w:val="24"/>
            </w:rPr>
            <w:t>Focus Area 1: Organisational Culture and Attitudes</w:t>
          </w:r>
          <w:r w:rsidRPr="008F7341">
            <w:rPr>
              <w:sz w:val="24"/>
              <w:szCs w:val="24"/>
            </w:rPr>
            <w:ptab w:relativeTo="margin" w:alignment="right" w:leader="dot"/>
          </w:r>
          <w:r w:rsidR="0053759E">
            <w:rPr>
              <w:sz w:val="24"/>
              <w:szCs w:val="24"/>
            </w:rPr>
            <w:t>5</w:t>
          </w:r>
        </w:p>
        <w:p w14:paraId="7AA7DAF2" w14:textId="703FB7C9" w:rsidR="005D2B98" w:rsidRPr="008F7341" w:rsidRDefault="005D2B98" w:rsidP="005D2B98">
          <w:pPr>
            <w:pStyle w:val="TOC2"/>
            <w:ind w:left="216"/>
            <w:rPr>
              <w:sz w:val="24"/>
              <w:szCs w:val="24"/>
            </w:rPr>
          </w:pPr>
          <w:r w:rsidRPr="008F7341">
            <w:rPr>
              <w:sz w:val="24"/>
              <w:szCs w:val="24"/>
            </w:rPr>
            <w:t>Focus Area 2: Digital and Physical Accessibility and Inclusion</w:t>
          </w:r>
          <w:r w:rsidRPr="008F7341">
            <w:rPr>
              <w:sz w:val="24"/>
              <w:szCs w:val="24"/>
            </w:rPr>
            <w:ptab w:relativeTo="margin" w:alignment="right" w:leader="dot"/>
          </w:r>
          <w:r w:rsidR="002706ED">
            <w:rPr>
              <w:sz w:val="24"/>
              <w:szCs w:val="24"/>
            </w:rPr>
            <w:t>8</w:t>
          </w:r>
        </w:p>
        <w:p w14:paraId="1487676F" w14:textId="135C06F9" w:rsidR="005D2B98" w:rsidRPr="008F7341" w:rsidRDefault="005D2B98" w:rsidP="005D2B98">
          <w:pPr>
            <w:pStyle w:val="TOC2"/>
            <w:ind w:left="216"/>
            <w:rPr>
              <w:sz w:val="24"/>
              <w:szCs w:val="24"/>
            </w:rPr>
          </w:pPr>
          <w:r w:rsidRPr="008F7341">
            <w:rPr>
              <w:sz w:val="24"/>
              <w:szCs w:val="24"/>
            </w:rPr>
            <w:t>Focus Area 3: Learning, Teaching and Research</w:t>
          </w:r>
          <w:r w:rsidRPr="008F7341">
            <w:rPr>
              <w:sz w:val="24"/>
              <w:szCs w:val="24"/>
            </w:rPr>
            <w:ptab w:relativeTo="margin" w:alignment="right" w:leader="dot"/>
          </w:r>
          <w:r w:rsidRPr="008F7341">
            <w:rPr>
              <w:sz w:val="24"/>
              <w:szCs w:val="24"/>
            </w:rPr>
            <w:t>1</w:t>
          </w:r>
          <w:r w:rsidR="002706ED">
            <w:rPr>
              <w:sz w:val="24"/>
              <w:szCs w:val="24"/>
            </w:rPr>
            <w:t>1</w:t>
          </w:r>
        </w:p>
        <w:p w14:paraId="2997C7FF" w14:textId="0A3F642D" w:rsidR="005D2B98" w:rsidRPr="008F7341" w:rsidRDefault="005D2B98" w:rsidP="005D2B98">
          <w:pPr>
            <w:pStyle w:val="TOC2"/>
            <w:ind w:left="216"/>
            <w:rPr>
              <w:sz w:val="24"/>
              <w:szCs w:val="24"/>
            </w:rPr>
          </w:pPr>
          <w:r w:rsidRPr="008F7341">
            <w:rPr>
              <w:sz w:val="24"/>
              <w:szCs w:val="24"/>
            </w:rPr>
            <w:t>Focus Area 4: Student Recruitment, Support and Employability</w:t>
          </w:r>
          <w:r w:rsidRPr="008F7341">
            <w:rPr>
              <w:sz w:val="24"/>
              <w:szCs w:val="24"/>
            </w:rPr>
            <w:ptab w:relativeTo="margin" w:alignment="right" w:leader="dot"/>
          </w:r>
          <w:r w:rsidRPr="008F7341">
            <w:rPr>
              <w:sz w:val="24"/>
              <w:szCs w:val="24"/>
            </w:rPr>
            <w:t>1</w:t>
          </w:r>
          <w:r w:rsidR="002706ED">
            <w:rPr>
              <w:sz w:val="24"/>
              <w:szCs w:val="24"/>
            </w:rPr>
            <w:t>3</w:t>
          </w:r>
        </w:p>
        <w:p w14:paraId="3EE03DBB" w14:textId="489EE132" w:rsidR="005D2B98" w:rsidRPr="008F7341" w:rsidRDefault="005D2B98" w:rsidP="005D2B98">
          <w:pPr>
            <w:pStyle w:val="TOC2"/>
            <w:ind w:left="216"/>
            <w:rPr>
              <w:sz w:val="24"/>
              <w:szCs w:val="24"/>
            </w:rPr>
          </w:pPr>
          <w:r w:rsidRPr="008F7341">
            <w:rPr>
              <w:sz w:val="24"/>
              <w:szCs w:val="24"/>
            </w:rPr>
            <w:t>Focus Area 5: Staff Recruitment, Support and Development</w:t>
          </w:r>
          <w:r w:rsidRPr="008F7341">
            <w:rPr>
              <w:sz w:val="24"/>
              <w:szCs w:val="24"/>
            </w:rPr>
            <w:ptab w:relativeTo="margin" w:alignment="right" w:leader="dot"/>
          </w:r>
          <w:r w:rsidRPr="008F7341">
            <w:rPr>
              <w:sz w:val="24"/>
              <w:szCs w:val="24"/>
            </w:rPr>
            <w:t>1</w:t>
          </w:r>
          <w:r w:rsidR="002706ED">
            <w:rPr>
              <w:sz w:val="24"/>
              <w:szCs w:val="24"/>
            </w:rPr>
            <w:t>5</w:t>
          </w:r>
        </w:p>
        <w:p w14:paraId="76593B11" w14:textId="77777777" w:rsidR="005D2B98" w:rsidRPr="008F7341" w:rsidRDefault="005D2B98" w:rsidP="005D2B98">
          <w:pPr>
            <w:rPr>
              <w:sz w:val="28"/>
              <w:szCs w:val="28"/>
              <w:lang w:eastAsia="en-US"/>
            </w:rPr>
          </w:pPr>
        </w:p>
        <w:p w14:paraId="583BF47C" w14:textId="6D49774C" w:rsidR="005D2B98" w:rsidRDefault="0069102B" w:rsidP="005D2B98">
          <w:pPr>
            <w:pStyle w:val="TOC3"/>
            <w:ind w:left="446"/>
            <w:rPr>
              <w:rFonts w:cstheme="minorBidi"/>
              <w:lang w:eastAsia="zh-CN"/>
            </w:rPr>
          </w:pPr>
        </w:p>
      </w:sdtContent>
    </w:sdt>
    <w:p w14:paraId="29B959FA" w14:textId="184DB5C9" w:rsidR="005D2B98" w:rsidRDefault="005D2B98">
      <w:r>
        <w:br w:type="page"/>
      </w:r>
    </w:p>
    <w:p w14:paraId="53E4D08D" w14:textId="77777777" w:rsidR="00A2536D" w:rsidRDefault="00A2536D" w:rsidP="00125ECE">
      <w:pPr>
        <w:spacing w:after="0" w:line="240" w:lineRule="auto"/>
        <w:rPr>
          <w:rFonts w:ascii="Georgia" w:eastAsia="SimHei" w:hAnsi="Georgia" w:cs="Times New Roman"/>
          <w:b/>
          <w:color w:val="094183"/>
          <w:sz w:val="32"/>
          <w:szCs w:val="32"/>
          <w:lang w:val="en-AU" w:eastAsia="en-US"/>
        </w:rPr>
      </w:pPr>
      <w:bookmarkStart w:id="0" w:name="_Toc67489654"/>
    </w:p>
    <w:p w14:paraId="25910CB6" w14:textId="0A24C107" w:rsidR="00BF5202" w:rsidRPr="00A2536D" w:rsidRDefault="005D2B98" w:rsidP="00A2536D">
      <w:pPr>
        <w:spacing w:after="0" w:line="240" w:lineRule="auto"/>
        <w:rPr>
          <w:rStyle w:val="normaltextrun"/>
          <w:rFonts w:ascii="Georgia" w:eastAsia="SimHei" w:hAnsi="Georgia" w:cs="Times New Roman"/>
          <w:b/>
          <w:color w:val="094183"/>
          <w:sz w:val="32"/>
          <w:szCs w:val="32"/>
          <w:lang w:val="en-AU" w:eastAsia="en-US"/>
        </w:rPr>
      </w:pPr>
      <w:r w:rsidRPr="00BB3E8F">
        <w:rPr>
          <w:rFonts w:ascii="Georgia" w:eastAsia="SimHei" w:hAnsi="Georgia" w:cs="Times New Roman"/>
          <w:b/>
          <w:color w:val="094183"/>
          <w:sz w:val="32"/>
          <w:szCs w:val="32"/>
          <w:lang w:val="en-AU" w:eastAsia="en-US"/>
        </w:rPr>
        <w:t xml:space="preserve">Acknowledgement of </w:t>
      </w:r>
      <w:r w:rsidR="00C70EB3">
        <w:rPr>
          <w:rFonts w:ascii="Georgia" w:eastAsia="SimHei" w:hAnsi="Georgia" w:cs="Times New Roman"/>
          <w:b/>
          <w:color w:val="094183"/>
          <w:sz w:val="32"/>
          <w:szCs w:val="32"/>
          <w:lang w:val="en-AU" w:eastAsia="en-US"/>
        </w:rPr>
        <w:t>T</w:t>
      </w:r>
      <w:r w:rsidRPr="00BB3E8F">
        <w:rPr>
          <w:rFonts w:ascii="Georgia" w:eastAsia="SimHei" w:hAnsi="Georgia" w:cs="Times New Roman"/>
          <w:b/>
          <w:color w:val="094183"/>
          <w:sz w:val="32"/>
          <w:szCs w:val="32"/>
          <w:lang w:val="en-AU" w:eastAsia="en-US"/>
        </w:rPr>
        <w:t xml:space="preserve">raditional </w:t>
      </w:r>
      <w:bookmarkEnd w:id="0"/>
      <w:r w:rsidR="00C70EB3">
        <w:rPr>
          <w:rFonts w:ascii="Georgia" w:eastAsia="SimHei" w:hAnsi="Georgia" w:cs="Times New Roman"/>
          <w:b/>
          <w:color w:val="094183"/>
          <w:sz w:val="32"/>
          <w:szCs w:val="32"/>
          <w:lang w:val="en-AU" w:eastAsia="en-US"/>
        </w:rPr>
        <w:t>O</w:t>
      </w:r>
      <w:r w:rsidRPr="00BB3E8F">
        <w:rPr>
          <w:rFonts w:ascii="Georgia" w:eastAsia="SimHei" w:hAnsi="Georgia" w:cs="Times New Roman"/>
          <w:b/>
          <w:color w:val="094183"/>
          <w:sz w:val="32"/>
          <w:szCs w:val="32"/>
          <w:lang w:val="en-AU" w:eastAsia="en-US"/>
        </w:rPr>
        <w:t>wners</w:t>
      </w:r>
    </w:p>
    <w:p w14:paraId="11078473" w14:textId="77777777" w:rsidR="00A2536D" w:rsidRDefault="00A2536D" w:rsidP="008F7341">
      <w:pPr>
        <w:rPr>
          <w:rStyle w:val="normaltextrun"/>
          <w:i/>
          <w:iCs/>
          <w:lang w:val="en-AU"/>
        </w:rPr>
      </w:pPr>
    </w:p>
    <w:p w14:paraId="0082E959" w14:textId="3F0DD740" w:rsidR="005D2B98" w:rsidRPr="001663ED" w:rsidRDefault="005D2B98" w:rsidP="005D2B98">
      <w:pPr>
        <w:pStyle w:val="NormalWeb"/>
        <w:shd w:val="clear" w:color="auto" w:fill="FFFFFF"/>
        <w:jc w:val="both"/>
        <w:rPr>
          <w:rStyle w:val="normaltextrun"/>
          <w:rFonts w:asciiTheme="minorHAnsi" w:hAnsiTheme="minorHAnsi" w:cstheme="minorBidi"/>
          <w:i/>
          <w:iCs/>
          <w:lang w:val="en-AU"/>
        </w:rPr>
      </w:pPr>
      <w:r w:rsidRPr="001663ED">
        <w:rPr>
          <w:rStyle w:val="normaltextrun"/>
          <w:rFonts w:asciiTheme="minorHAnsi" w:hAnsiTheme="minorHAnsi" w:cstheme="minorBidi"/>
          <w:i/>
          <w:iCs/>
          <w:lang w:val="en-AU"/>
        </w:rPr>
        <w:t>The University of Melbourne acknowledges the Traditional Owners of the unceded land on which we work, learn and live: the Wurundjeri Woi Wurrung and Bunurong peoples (Burnley, Fishermans Bend, Parkville, Southbank and Werribee campuses), the Yorta Yorta Nation (Dookie and Shepparton campuses), and the Dja Dja Wurrung people (Creswick campus).</w:t>
      </w:r>
    </w:p>
    <w:p w14:paraId="393EA751" w14:textId="77777777" w:rsidR="005D2B98" w:rsidRPr="001663ED" w:rsidRDefault="005D2B98" w:rsidP="005D2B98">
      <w:pPr>
        <w:pStyle w:val="NormalWeb"/>
        <w:shd w:val="clear" w:color="auto" w:fill="FFFFFF"/>
        <w:jc w:val="both"/>
        <w:rPr>
          <w:rStyle w:val="normaltextrun"/>
          <w:rFonts w:asciiTheme="minorHAnsi" w:hAnsiTheme="minorHAnsi" w:cstheme="minorBidi"/>
          <w:i/>
          <w:iCs/>
          <w:lang w:val="en-AU"/>
        </w:rPr>
      </w:pPr>
      <w:r w:rsidRPr="001663ED">
        <w:rPr>
          <w:rStyle w:val="normaltextrun"/>
          <w:rFonts w:asciiTheme="minorHAnsi" w:hAnsiTheme="minorHAnsi" w:cstheme="minorBidi"/>
          <w:i/>
          <w:iCs/>
          <w:lang w:val="en-AU"/>
        </w:rPr>
        <w:t>The University also acknowledges and is grateful to the Traditional Owners, Elders and Knowledge Holders of all Indigenous nations and clans who have been instrumental in our reconciliation journey.</w:t>
      </w:r>
    </w:p>
    <w:p w14:paraId="33A599CE" w14:textId="77777777" w:rsidR="005D2B98" w:rsidRPr="001663ED" w:rsidRDefault="005D2B98" w:rsidP="005D2B98">
      <w:pPr>
        <w:pStyle w:val="NormalWeb"/>
        <w:shd w:val="clear" w:color="auto" w:fill="FFFFFF"/>
        <w:jc w:val="both"/>
        <w:rPr>
          <w:rStyle w:val="normaltextrun"/>
          <w:rFonts w:asciiTheme="minorHAnsi" w:hAnsiTheme="minorHAnsi" w:cstheme="minorBidi"/>
          <w:i/>
          <w:iCs/>
          <w:lang w:val="en-AU"/>
        </w:rPr>
      </w:pPr>
      <w:r w:rsidRPr="001663ED">
        <w:rPr>
          <w:rStyle w:val="normaltextrun"/>
          <w:rFonts w:asciiTheme="minorHAnsi" w:hAnsiTheme="minorHAnsi" w:cstheme="minorBidi"/>
          <w:i/>
          <w:iCs/>
          <w:lang w:val="en-AU"/>
        </w:rPr>
        <w:t>We recognise the unique place held by Aboriginal and Torres Strait Islander peoples as the original owners and custodians of the lands and waterways across the Australian continent, with histories of continuous connection dating back more than 60,000 years. We also acknowledge their enduring cultural practices of caring for Country.</w:t>
      </w:r>
    </w:p>
    <w:p w14:paraId="730A4ECC" w14:textId="77777777" w:rsidR="005D2B98" w:rsidRPr="001663ED" w:rsidRDefault="005D2B98" w:rsidP="005D2B98">
      <w:pPr>
        <w:pStyle w:val="NormalWeb"/>
        <w:shd w:val="clear" w:color="auto" w:fill="FFFFFF"/>
        <w:jc w:val="both"/>
        <w:rPr>
          <w:rStyle w:val="normaltextrun"/>
          <w:rFonts w:asciiTheme="minorHAnsi" w:hAnsiTheme="minorHAnsi" w:cstheme="minorBidi"/>
          <w:i/>
          <w:iCs/>
          <w:lang w:val="en-AU"/>
        </w:rPr>
      </w:pPr>
      <w:r w:rsidRPr="001663ED">
        <w:rPr>
          <w:rStyle w:val="normaltextrun"/>
          <w:rFonts w:asciiTheme="minorHAnsi" w:hAnsiTheme="minorHAnsi" w:cstheme="minorBidi"/>
          <w:i/>
          <w:iCs/>
          <w:lang w:val="en-AU"/>
        </w:rPr>
        <w:t>We pay respect to Elders past, present and future, and acknowledge the importance of Indigenous knowledge in the Academy. As a community of researchers, teachers, professional staff and students we are privileged to work and learn every day with Indigenous colleagues and partners.</w:t>
      </w:r>
    </w:p>
    <w:p w14:paraId="78439969" w14:textId="44C28D30" w:rsidR="005D2B98" w:rsidRPr="001663ED" w:rsidRDefault="005D2B98" w:rsidP="005D2B98">
      <w:pPr>
        <w:rPr>
          <w:i/>
          <w:iCs/>
          <w:sz w:val="24"/>
          <w:szCs w:val="24"/>
        </w:rPr>
      </w:pPr>
      <w:r w:rsidRPr="001663ED">
        <w:rPr>
          <w:rStyle w:val="normaltextrun"/>
          <w:rFonts w:eastAsia="Times New Roman"/>
          <w:i/>
          <w:iCs/>
          <w:sz w:val="24"/>
          <w:szCs w:val="24"/>
          <w:lang w:val="en-AU"/>
        </w:rPr>
        <w:t>We recognise that due to the impacts of colonisation, Aboriginal and Torres Strait Islander peoples are more likely to be living with disabilit</w:t>
      </w:r>
      <w:r w:rsidR="00B466DE">
        <w:rPr>
          <w:rStyle w:val="normaltextrun"/>
          <w:rFonts w:eastAsia="Times New Roman"/>
          <w:i/>
          <w:iCs/>
          <w:sz w:val="24"/>
          <w:szCs w:val="24"/>
          <w:lang w:val="en-AU"/>
        </w:rPr>
        <w:t>y</w:t>
      </w:r>
      <w:r w:rsidRPr="001663ED">
        <w:rPr>
          <w:rStyle w:val="normaltextrun"/>
          <w:rFonts w:eastAsia="Times New Roman"/>
          <w:i/>
          <w:iCs/>
          <w:sz w:val="24"/>
          <w:szCs w:val="24"/>
          <w:lang w:val="en-AU"/>
        </w:rPr>
        <w:t xml:space="preserve"> and/or chronic illness compared to the rest of Australian society.</w:t>
      </w:r>
    </w:p>
    <w:p w14:paraId="73E9002F" w14:textId="77777777" w:rsidR="005D2B98" w:rsidRDefault="005D2B98"/>
    <w:p w14:paraId="685848DA" w14:textId="28A0CED1" w:rsidR="00C818F0" w:rsidRPr="00FC7E17" w:rsidRDefault="00C818F0" w:rsidP="00FC7E17">
      <w:pPr>
        <w:rPr>
          <w:rStyle w:val="normaltextrun"/>
        </w:rPr>
      </w:pPr>
      <w:r>
        <w:br w:type="page"/>
      </w:r>
      <w:r w:rsidRPr="00BB3E8F">
        <w:rPr>
          <w:rFonts w:ascii="Georgia" w:eastAsia="SimHei" w:hAnsi="Georgia" w:cs="Times New Roman"/>
          <w:b/>
          <w:color w:val="094183"/>
          <w:sz w:val="32"/>
          <w:szCs w:val="32"/>
          <w:lang w:val="en-AU" w:eastAsia="en-US"/>
        </w:rPr>
        <w:lastRenderedPageBreak/>
        <w:t>Introduction</w:t>
      </w:r>
    </w:p>
    <w:p w14:paraId="1DEFC22B" w14:textId="77777777" w:rsidR="00C818F0" w:rsidRDefault="00C818F0" w:rsidP="00C818F0">
      <w:pPr>
        <w:pStyle w:val="paragraph"/>
        <w:spacing w:before="0" w:beforeAutospacing="0" w:after="0" w:afterAutospacing="0"/>
        <w:textAlignment w:val="baseline"/>
        <w:rPr>
          <w:rStyle w:val="normaltextrun"/>
          <w:rFonts w:ascii="Calibri" w:hAnsi="Calibri" w:cs="Calibri"/>
          <w:i/>
          <w:iCs/>
          <w:color w:val="000000" w:themeColor="text1"/>
          <w:lang w:val="en-AU"/>
        </w:rPr>
      </w:pPr>
      <w:r>
        <w:rPr>
          <w:rStyle w:val="normaltextrun"/>
          <w:rFonts w:ascii="Calibri" w:hAnsi="Calibri" w:cs="Calibri"/>
          <w:i/>
          <w:iCs/>
          <w:color w:val="000000" w:themeColor="text1"/>
          <w:lang w:val="en-AU"/>
        </w:rPr>
        <w:t>“</w:t>
      </w:r>
      <w:r w:rsidRPr="002C314C">
        <w:rPr>
          <w:rStyle w:val="normaltextrun"/>
          <w:rFonts w:ascii="Calibri" w:hAnsi="Calibri" w:cs="Calibri"/>
          <w:i/>
          <w:iCs/>
          <w:color w:val="000000" w:themeColor="text1"/>
          <w:lang w:val="en-AU"/>
        </w:rPr>
        <w:t>Disability is an evolving concept and disability results from the interaction between persons with impairments and attitudinal and environmental barriers that hinders their full and effective participation in society on an equal basis with others</w:t>
      </w:r>
      <w:r>
        <w:rPr>
          <w:rStyle w:val="normaltextrun"/>
          <w:rFonts w:ascii="Calibri" w:hAnsi="Calibri" w:cs="Calibri"/>
          <w:i/>
          <w:iCs/>
          <w:color w:val="000000" w:themeColor="text1"/>
          <w:lang w:val="en-AU"/>
        </w:rPr>
        <w:t xml:space="preserve">.” </w:t>
      </w:r>
    </w:p>
    <w:p w14:paraId="11F89F7A" w14:textId="77777777" w:rsidR="00C818F0" w:rsidRPr="007A70A4" w:rsidRDefault="00C818F0" w:rsidP="00C818F0">
      <w:pPr>
        <w:pStyle w:val="paragraph"/>
        <w:spacing w:before="0" w:beforeAutospacing="0" w:after="120" w:afterAutospacing="0"/>
        <w:textAlignment w:val="baseline"/>
        <w:rPr>
          <w:rStyle w:val="normaltextrun"/>
          <w:rFonts w:ascii="Calibri" w:eastAsiaTheme="minorHAnsi" w:hAnsi="Calibri" w:cs="Calibri"/>
          <w:i/>
          <w:iCs/>
          <w:color w:val="000000" w:themeColor="text1"/>
          <w:sz w:val="22"/>
          <w:szCs w:val="22"/>
          <w:lang w:val="en-AU"/>
        </w:rPr>
      </w:pPr>
      <w:r w:rsidRPr="007A70A4">
        <w:rPr>
          <w:rStyle w:val="normaltextrun"/>
          <w:rFonts w:ascii="Calibri" w:hAnsi="Calibri" w:cs="Calibri"/>
          <w:i/>
          <w:iCs/>
          <w:color w:val="000000" w:themeColor="text1"/>
          <w:sz w:val="22"/>
          <w:szCs w:val="22"/>
          <w:lang w:val="en-AU"/>
        </w:rPr>
        <w:t>(United Nations Convention on the Rights of Persons with Disabilities).</w:t>
      </w:r>
      <w:r w:rsidRPr="007A70A4">
        <w:rPr>
          <w:rStyle w:val="FootnoteReference"/>
          <w:rFonts w:ascii="Calibri" w:hAnsi="Calibri" w:cs="Calibri"/>
          <w:color w:val="000000" w:themeColor="text1"/>
          <w:sz w:val="22"/>
          <w:szCs w:val="22"/>
          <w:lang w:val="en-AU"/>
        </w:rPr>
        <w:t xml:space="preserve"> </w:t>
      </w:r>
      <w:r w:rsidRPr="007A70A4">
        <w:rPr>
          <w:rStyle w:val="FootnoteReference"/>
          <w:rFonts w:ascii="Calibri" w:hAnsi="Calibri" w:cs="Calibri"/>
          <w:i/>
          <w:iCs/>
          <w:color w:val="000000" w:themeColor="text1"/>
          <w:sz w:val="22"/>
          <w:szCs w:val="22"/>
          <w:lang w:val="en-AU"/>
        </w:rPr>
        <w:footnoteReference w:id="1"/>
      </w:r>
    </w:p>
    <w:p w14:paraId="0A0AB31C" w14:textId="5B3612E1" w:rsidR="00C818F0" w:rsidRDefault="00C818F0" w:rsidP="00C818F0">
      <w:pPr>
        <w:pStyle w:val="paragraph"/>
        <w:spacing w:before="0" w:beforeAutospacing="0" w:after="120" w:afterAutospacing="0"/>
        <w:textAlignment w:val="baseline"/>
        <w:rPr>
          <w:rStyle w:val="normaltextrun"/>
          <w:rFonts w:ascii="Calibri" w:hAnsi="Calibri" w:cs="Calibri"/>
          <w:lang w:val="en-AU"/>
        </w:rPr>
      </w:pPr>
      <w:r>
        <w:rPr>
          <w:rStyle w:val="normaltextrun"/>
          <w:rFonts w:ascii="Calibri" w:hAnsi="Calibri" w:cs="Calibri"/>
          <w:lang w:val="en-AU"/>
        </w:rPr>
        <w:t>The University of Melbourne is pleased to release a new Disability inclusion Action Plan (</w:t>
      </w:r>
      <w:r w:rsidRPr="00D47A83">
        <w:rPr>
          <w:rStyle w:val="normaltextrun"/>
          <w:rFonts w:ascii="Calibri" w:hAnsi="Calibri" w:cs="Calibri"/>
          <w:i/>
          <w:iCs/>
          <w:lang w:val="en-AU"/>
        </w:rPr>
        <w:t>DIAP 2023-2026</w:t>
      </w:r>
      <w:r>
        <w:rPr>
          <w:rStyle w:val="normaltextrun"/>
          <w:rFonts w:ascii="Calibri" w:hAnsi="Calibri" w:cs="Calibri"/>
          <w:lang w:val="en-AU"/>
        </w:rPr>
        <w:t xml:space="preserve">) that, for the first time, encompasses students and staff within its remit. Development of this Plan is a priority identified in the University’s </w:t>
      </w:r>
      <w:hyperlink r:id="rId12" w:history="1">
        <w:r w:rsidRPr="003B3055">
          <w:rPr>
            <w:rStyle w:val="Hyperlink"/>
            <w:rFonts w:ascii="Calibri" w:hAnsi="Calibri" w:cs="Calibri"/>
            <w:i/>
            <w:iCs/>
            <w:lang w:val="en-AU"/>
          </w:rPr>
          <w:t>Diversity and Inclusion Strategy 2030</w:t>
        </w:r>
      </w:hyperlink>
      <w:r>
        <w:rPr>
          <w:rStyle w:val="normaltextrun"/>
          <w:rFonts w:ascii="Calibri" w:hAnsi="Calibri" w:cs="Calibri"/>
          <w:lang w:val="en-AU"/>
        </w:rPr>
        <w:t xml:space="preserve"> which aims to ensure that our entire community is empowered and supported to pursue excellence with equal opportunities.  </w:t>
      </w:r>
    </w:p>
    <w:p w14:paraId="5785FDF4" w14:textId="54A1B700" w:rsidR="00C818F0" w:rsidRDefault="00C818F0" w:rsidP="00C818F0">
      <w:pPr>
        <w:pStyle w:val="paragraph"/>
        <w:spacing w:before="0" w:beforeAutospacing="0" w:after="120" w:afterAutospacing="0"/>
        <w:textAlignment w:val="baseline"/>
        <w:rPr>
          <w:rStyle w:val="normaltextrun"/>
          <w:rFonts w:ascii="Calibri" w:hAnsi="Calibri" w:cs="Calibri"/>
          <w:lang w:val="en-AU"/>
        </w:rPr>
      </w:pPr>
      <w:r>
        <w:rPr>
          <w:rStyle w:val="normaltextrun"/>
          <w:rFonts w:ascii="Calibri" w:hAnsi="Calibri" w:cs="Calibri"/>
          <w:lang w:val="en-AU"/>
        </w:rPr>
        <w:t xml:space="preserve">In addition to strategic commitments to improve the University’s </w:t>
      </w:r>
      <w:r w:rsidRPr="00BB0492">
        <w:rPr>
          <w:rStyle w:val="normaltextrun"/>
          <w:rFonts w:ascii="Calibri" w:hAnsi="Calibri" w:cs="Calibri"/>
          <w:lang w:val="en-AU"/>
        </w:rPr>
        <w:t>accessib</w:t>
      </w:r>
      <w:r>
        <w:rPr>
          <w:rStyle w:val="normaltextrun"/>
          <w:rFonts w:ascii="Calibri" w:hAnsi="Calibri" w:cs="Calibri"/>
          <w:lang w:val="en-AU"/>
        </w:rPr>
        <w:t>ility</w:t>
      </w:r>
      <w:r w:rsidRPr="00BB0492">
        <w:rPr>
          <w:rStyle w:val="normaltextrun"/>
          <w:rFonts w:ascii="Calibri" w:hAnsi="Calibri" w:cs="Calibri"/>
          <w:lang w:val="en-AU"/>
        </w:rPr>
        <w:t xml:space="preserve"> and inclusiv</w:t>
      </w:r>
      <w:r>
        <w:rPr>
          <w:rStyle w:val="normaltextrun"/>
          <w:rFonts w:ascii="Calibri" w:hAnsi="Calibri" w:cs="Calibri"/>
          <w:lang w:val="en-AU"/>
        </w:rPr>
        <w:t>ity</w:t>
      </w:r>
      <w:r w:rsidRPr="00BB0492">
        <w:rPr>
          <w:rStyle w:val="normaltextrun"/>
          <w:rFonts w:ascii="Calibri" w:hAnsi="Calibri" w:cs="Calibri"/>
          <w:lang w:val="en-AU"/>
        </w:rPr>
        <w:t xml:space="preserve"> for people with disabili</w:t>
      </w:r>
      <w:r w:rsidR="00B466DE">
        <w:rPr>
          <w:rStyle w:val="normaltextrun"/>
          <w:rFonts w:ascii="Calibri" w:hAnsi="Calibri" w:cs="Calibri"/>
          <w:lang w:val="en-AU"/>
        </w:rPr>
        <w:t>ty</w:t>
      </w:r>
      <w:r>
        <w:rPr>
          <w:rStyle w:val="FootnoteReference"/>
          <w:rFonts w:ascii="Calibri" w:hAnsi="Calibri" w:cs="Calibri"/>
          <w:lang w:val="en-AU"/>
        </w:rPr>
        <w:footnoteReference w:id="2"/>
      </w:r>
      <w:r>
        <w:rPr>
          <w:rStyle w:val="normaltextrun"/>
          <w:rFonts w:ascii="Calibri" w:hAnsi="Calibri" w:cs="Calibri"/>
          <w:lang w:val="en-AU"/>
        </w:rPr>
        <w:t xml:space="preserve">, the University is also bound by the </w:t>
      </w:r>
      <w:hyperlink r:id="rId13" w:history="1">
        <w:r w:rsidRPr="003B3055">
          <w:rPr>
            <w:rStyle w:val="Hyperlink"/>
            <w:rFonts w:ascii="Calibri" w:hAnsi="Calibri" w:cs="Calibri"/>
            <w:i/>
            <w:iCs/>
            <w:lang w:val="en-AU"/>
          </w:rPr>
          <w:t>Disability Discrimination Act</w:t>
        </w:r>
      </w:hyperlink>
      <w:r>
        <w:rPr>
          <w:rStyle w:val="normaltextrun"/>
          <w:rFonts w:ascii="Calibri" w:hAnsi="Calibri" w:cs="Calibri"/>
          <w:lang w:val="en-AU"/>
        </w:rPr>
        <w:t xml:space="preserve"> </w:t>
      </w:r>
      <w:r w:rsidRPr="000418BE">
        <w:rPr>
          <w:rStyle w:val="normaltextrun"/>
          <w:rFonts w:ascii="Calibri" w:hAnsi="Calibri" w:cs="Calibri"/>
          <w:lang w:val="en-AU"/>
        </w:rPr>
        <w:t>(DDA)</w:t>
      </w:r>
      <w:r>
        <w:rPr>
          <w:rStyle w:val="normaltextrun"/>
          <w:rFonts w:ascii="Calibri" w:hAnsi="Calibri" w:cs="Calibri"/>
          <w:i/>
          <w:iCs/>
          <w:lang w:val="en-AU"/>
        </w:rPr>
        <w:t xml:space="preserve"> </w:t>
      </w:r>
      <w:r>
        <w:rPr>
          <w:rStyle w:val="normaltextrun"/>
          <w:rFonts w:ascii="Calibri" w:hAnsi="Calibri" w:cs="Calibri"/>
          <w:lang w:val="en-AU"/>
        </w:rPr>
        <w:t xml:space="preserve">and the </w:t>
      </w:r>
      <w:hyperlink r:id="rId14" w:history="1">
        <w:r w:rsidRPr="003B3055">
          <w:rPr>
            <w:rStyle w:val="Hyperlink"/>
            <w:rFonts w:ascii="Calibri" w:hAnsi="Calibri" w:cs="Calibri"/>
            <w:i/>
            <w:iCs/>
            <w:lang w:val="en-AU"/>
          </w:rPr>
          <w:t>Disability Standards for Education</w:t>
        </w:r>
      </w:hyperlink>
      <w:r>
        <w:rPr>
          <w:rStyle w:val="normaltextrun"/>
          <w:rFonts w:ascii="Calibri" w:hAnsi="Calibri" w:cs="Calibri"/>
          <w:lang w:val="en-AU"/>
        </w:rPr>
        <w:t xml:space="preserve"> (DSE)</w:t>
      </w:r>
      <w:r w:rsidRPr="00BB0492">
        <w:rPr>
          <w:rStyle w:val="normaltextrun"/>
          <w:rFonts w:ascii="Calibri" w:hAnsi="Calibri" w:cs="Calibri"/>
          <w:lang w:val="en-AU"/>
        </w:rPr>
        <w:t xml:space="preserve">. </w:t>
      </w:r>
      <w:r>
        <w:rPr>
          <w:rStyle w:val="normaltextrun"/>
          <w:rFonts w:ascii="Calibri" w:hAnsi="Calibri" w:cs="Calibri"/>
          <w:lang w:val="en-AU"/>
        </w:rPr>
        <w:t xml:space="preserve">This legislation stipulates that educational institutions must ensure students and staff with disability can participate on the same basis as others and make educational and workplace adjustments to facilitate this.  </w:t>
      </w:r>
    </w:p>
    <w:p w14:paraId="4A6C701A" w14:textId="3D5B1022" w:rsidR="00C818F0" w:rsidRDefault="00C818F0" w:rsidP="00C818F0">
      <w:pPr>
        <w:pStyle w:val="paragraph"/>
        <w:spacing w:before="0" w:beforeAutospacing="0" w:after="120" w:afterAutospacing="0"/>
        <w:textAlignment w:val="baseline"/>
        <w:rPr>
          <w:rFonts w:asciiTheme="minorHAnsi" w:hAnsiTheme="minorHAnsi" w:cstheme="minorHAnsi"/>
        </w:rPr>
      </w:pPr>
      <w:r w:rsidRPr="006D7F9F">
        <w:rPr>
          <w:rStyle w:val="normaltextrun"/>
          <w:rFonts w:asciiTheme="minorHAnsi" w:hAnsiTheme="minorHAnsi" w:cstheme="minorHAnsi"/>
          <w:lang w:val="en-AU"/>
        </w:rPr>
        <w:t xml:space="preserve">The </w:t>
      </w:r>
      <w:r w:rsidRPr="006D7F9F">
        <w:rPr>
          <w:rStyle w:val="normaltextrun"/>
          <w:rFonts w:asciiTheme="minorHAnsi" w:hAnsiTheme="minorHAnsi" w:cstheme="minorHAnsi"/>
          <w:i/>
          <w:iCs/>
          <w:lang w:val="en-AU"/>
        </w:rPr>
        <w:t>DIAP 2023-2026</w:t>
      </w:r>
      <w:r w:rsidRPr="006D7F9F">
        <w:rPr>
          <w:rStyle w:val="normaltextrun"/>
          <w:rFonts w:asciiTheme="minorHAnsi" w:hAnsiTheme="minorHAnsi" w:cstheme="minorHAnsi"/>
          <w:lang w:val="en-AU"/>
        </w:rPr>
        <w:t xml:space="preserve"> </w:t>
      </w:r>
      <w:r>
        <w:rPr>
          <w:rStyle w:val="normaltextrun"/>
          <w:rFonts w:asciiTheme="minorHAnsi" w:hAnsiTheme="minorHAnsi" w:cstheme="minorHAnsi"/>
          <w:lang w:val="en-AU"/>
        </w:rPr>
        <w:t>articulates a renewed</w:t>
      </w:r>
      <w:r w:rsidRPr="006D7F9F">
        <w:rPr>
          <w:rStyle w:val="normaltextrun"/>
          <w:rFonts w:asciiTheme="minorHAnsi" w:hAnsiTheme="minorHAnsi" w:cstheme="minorHAnsi"/>
          <w:lang w:val="en-AU"/>
        </w:rPr>
        <w:t xml:space="preserve"> commitment to disability inclusion at the University of Melbourne and focusses on foundational actions from which the University can continue to improve. In publishing the DIAP, the University commits to champion, implement and resource actions to minimise or remove structural, systemic and cultural barriers to participation for people with disabilit</w:t>
      </w:r>
      <w:r w:rsidR="00B466DE">
        <w:rPr>
          <w:rStyle w:val="normaltextrun"/>
          <w:rFonts w:asciiTheme="minorHAnsi" w:hAnsiTheme="minorHAnsi" w:cstheme="minorHAnsi"/>
          <w:lang w:val="en-AU"/>
        </w:rPr>
        <w:t>y</w:t>
      </w:r>
      <w:r w:rsidRPr="006D7F9F">
        <w:rPr>
          <w:rStyle w:val="normaltextrun"/>
          <w:rFonts w:asciiTheme="minorHAnsi" w:hAnsiTheme="minorHAnsi" w:cstheme="minorHAnsi"/>
          <w:lang w:val="en-AU"/>
        </w:rPr>
        <w:t xml:space="preserve">. </w:t>
      </w:r>
      <w:r>
        <w:rPr>
          <w:rStyle w:val="normaltextrun"/>
          <w:rFonts w:ascii="Calibri" w:hAnsi="Calibri" w:cs="Calibri"/>
          <w:lang w:val="en-AU"/>
        </w:rPr>
        <w:t>As this work matures, the University has an ongoing responsibility</w:t>
      </w:r>
      <w:r w:rsidRPr="006D7F9F">
        <w:rPr>
          <w:rFonts w:asciiTheme="minorHAnsi" w:hAnsiTheme="minorHAnsi" w:cstheme="minorHAnsi"/>
        </w:rPr>
        <w:t xml:space="preserve"> </w:t>
      </w:r>
      <w:r>
        <w:rPr>
          <w:rFonts w:asciiTheme="minorHAnsi" w:hAnsiTheme="minorHAnsi" w:cstheme="minorHAnsi"/>
        </w:rPr>
        <w:t>to work with the sector and Government to raise the profile and increase support for people with disabilit</w:t>
      </w:r>
      <w:r w:rsidR="00B466DE">
        <w:rPr>
          <w:rFonts w:asciiTheme="minorHAnsi" w:hAnsiTheme="minorHAnsi" w:cstheme="minorHAnsi"/>
        </w:rPr>
        <w:t>y</w:t>
      </w:r>
      <w:r>
        <w:rPr>
          <w:rFonts w:asciiTheme="minorHAnsi" w:hAnsiTheme="minorHAnsi" w:cstheme="minorHAnsi"/>
        </w:rPr>
        <w:t xml:space="preserve"> in higher education. </w:t>
      </w:r>
      <w:r w:rsidRPr="006D7F9F">
        <w:rPr>
          <w:rFonts w:asciiTheme="minorHAnsi" w:hAnsiTheme="minorHAnsi" w:cstheme="minorHAnsi"/>
        </w:rPr>
        <w:t xml:space="preserve">To ensure accountability for our commitment is visible to our community, a monitoring, evaluation and reporting framework will </w:t>
      </w:r>
      <w:r>
        <w:rPr>
          <w:rFonts w:asciiTheme="minorHAnsi" w:hAnsiTheme="minorHAnsi" w:cstheme="minorHAnsi"/>
        </w:rPr>
        <w:t xml:space="preserve">be developed to </w:t>
      </w:r>
      <w:r w:rsidRPr="006D7F9F">
        <w:rPr>
          <w:rFonts w:asciiTheme="minorHAnsi" w:hAnsiTheme="minorHAnsi" w:cstheme="minorHAnsi"/>
        </w:rPr>
        <w:t>accompany this plan.</w:t>
      </w:r>
      <w:r>
        <w:rPr>
          <w:rFonts w:asciiTheme="minorHAnsi" w:hAnsiTheme="minorHAnsi" w:cstheme="minorHAnsi"/>
        </w:rPr>
        <w:t xml:space="preserve"> </w:t>
      </w:r>
    </w:p>
    <w:p w14:paraId="2618DDC6" w14:textId="60548C32" w:rsidR="002803FC" w:rsidRPr="00AD2D05" w:rsidDel="000824FF" w:rsidRDefault="002803FC" w:rsidP="006270C5">
      <w:pPr>
        <w:pStyle w:val="paragraph"/>
        <w:spacing w:before="0" w:beforeAutospacing="0" w:after="120" w:afterAutospacing="0"/>
        <w:textAlignment w:val="baseline"/>
        <w:rPr>
          <w:rStyle w:val="normaltextrun"/>
          <w:rFonts w:ascii="Calibri" w:hAnsi="Calibri" w:cs="Calibri"/>
          <w:lang w:val="en-AU"/>
        </w:rPr>
      </w:pPr>
      <w:r>
        <w:rPr>
          <w:rStyle w:val="normaltextrun"/>
          <w:rFonts w:asciiTheme="minorHAnsi" w:hAnsiTheme="minorHAnsi" w:cstheme="minorHAnsi"/>
          <w:lang w:val="en-AU"/>
        </w:rPr>
        <w:t>Everyone in the University community is</w:t>
      </w:r>
      <w:r w:rsidRPr="006D7F9F">
        <w:rPr>
          <w:rStyle w:val="normaltextrun"/>
          <w:rFonts w:asciiTheme="minorHAnsi" w:hAnsiTheme="minorHAnsi" w:cstheme="minorHAnsi"/>
          <w:lang w:val="en-AU"/>
        </w:rPr>
        <w:t xml:space="preserve"> encouraged to contribute to the success of the new DIAP by playing their own part </w:t>
      </w:r>
      <w:r w:rsidRPr="00BB0492">
        <w:rPr>
          <w:rStyle w:val="normaltextrun"/>
          <w:rFonts w:ascii="Calibri" w:hAnsi="Calibri" w:cs="Calibri"/>
          <w:lang w:val="en-AU"/>
        </w:rPr>
        <w:t xml:space="preserve">to </w:t>
      </w:r>
      <w:r>
        <w:rPr>
          <w:rStyle w:val="normaltextrun"/>
          <w:rFonts w:ascii="Calibri" w:hAnsi="Calibri" w:cs="Calibri"/>
          <w:lang w:val="en-AU"/>
        </w:rPr>
        <w:t xml:space="preserve">be informed about and </w:t>
      </w:r>
      <w:r w:rsidRPr="00BB0492">
        <w:rPr>
          <w:rStyle w:val="normaltextrun"/>
          <w:rFonts w:ascii="Calibri" w:hAnsi="Calibri" w:cs="Calibri"/>
          <w:lang w:val="en-AU"/>
        </w:rPr>
        <w:t xml:space="preserve">create an environment where </w:t>
      </w:r>
      <w:r>
        <w:rPr>
          <w:rStyle w:val="normaltextrun"/>
          <w:rFonts w:ascii="Calibri" w:hAnsi="Calibri" w:cs="Calibri"/>
          <w:lang w:val="en-AU"/>
        </w:rPr>
        <w:t xml:space="preserve">all </w:t>
      </w:r>
      <w:r w:rsidRPr="00BB0492">
        <w:rPr>
          <w:rStyle w:val="normaltextrun"/>
          <w:rFonts w:ascii="Calibri" w:hAnsi="Calibri" w:cs="Calibri"/>
          <w:lang w:val="en-AU"/>
        </w:rPr>
        <w:t>people with disabilit</w:t>
      </w:r>
      <w:r w:rsidR="00B466DE">
        <w:rPr>
          <w:rStyle w:val="normaltextrun"/>
          <w:rFonts w:ascii="Calibri" w:hAnsi="Calibri" w:cs="Calibri"/>
          <w:lang w:val="en-AU"/>
        </w:rPr>
        <w:t>y</w:t>
      </w:r>
      <w:r w:rsidRPr="00BB0492">
        <w:rPr>
          <w:rStyle w:val="normaltextrun"/>
          <w:rFonts w:ascii="Calibri" w:hAnsi="Calibri" w:cs="Calibri"/>
          <w:lang w:val="en-AU"/>
        </w:rPr>
        <w:t xml:space="preserve"> feel confident, empowered and supported</w:t>
      </w:r>
      <w:r>
        <w:rPr>
          <w:rStyle w:val="normaltextrun"/>
          <w:rFonts w:ascii="Calibri" w:hAnsi="Calibri" w:cs="Calibri"/>
          <w:lang w:val="en-AU"/>
        </w:rPr>
        <w:t xml:space="preserve"> to succeed.</w:t>
      </w:r>
      <w:r w:rsidRPr="00BB0492">
        <w:rPr>
          <w:rStyle w:val="normaltextrun"/>
          <w:rFonts w:ascii="Calibri" w:hAnsi="Calibri" w:cs="Calibri"/>
          <w:lang w:val="en-AU"/>
        </w:rPr>
        <w:t xml:space="preserve"> </w:t>
      </w:r>
    </w:p>
    <w:p w14:paraId="3D1575F4" w14:textId="27DE86D2" w:rsidR="00C818F0" w:rsidRDefault="00C818F0" w:rsidP="712A0D1E">
      <w:pPr>
        <w:pStyle w:val="pf0"/>
        <w:spacing w:before="0" w:beforeAutospacing="0" w:after="0" w:afterAutospacing="0"/>
        <w:rPr>
          <w:rStyle w:val="normaltextrun"/>
          <w:rFonts w:ascii="Calibri" w:hAnsi="Calibri" w:cs="Calibri"/>
          <w:lang w:val="en-AU"/>
        </w:rPr>
      </w:pPr>
      <w:r w:rsidRPr="712A0D1E">
        <w:rPr>
          <w:rStyle w:val="normaltextrun"/>
          <w:rFonts w:ascii="Calibri" w:hAnsi="Calibri" w:cs="Calibri"/>
          <w:lang w:val="en-AU"/>
        </w:rPr>
        <w:t>This plan has been endorsed by the University of Melbourne's Di</w:t>
      </w:r>
      <w:r w:rsidR="00FC2726" w:rsidRPr="712A0D1E">
        <w:rPr>
          <w:rStyle w:val="normaltextrun"/>
          <w:rFonts w:ascii="Calibri" w:hAnsi="Calibri" w:cs="Calibri"/>
          <w:lang w:val="en-AU"/>
        </w:rPr>
        <w:t>versity</w:t>
      </w:r>
      <w:r w:rsidRPr="712A0D1E">
        <w:rPr>
          <w:rStyle w:val="normaltextrun"/>
          <w:rFonts w:ascii="Calibri" w:hAnsi="Calibri" w:cs="Calibri"/>
          <w:lang w:val="en-AU"/>
        </w:rPr>
        <w:t xml:space="preserve"> &amp; Inclusion Sub-Committee, which reports to the University Executive. It was formally approved by University Executive on </w:t>
      </w:r>
      <w:r w:rsidR="6A5A862D" w:rsidRPr="712A0D1E">
        <w:rPr>
          <w:rStyle w:val="normaltextrun"/>
          <w:rFonts w:ascii="Calibri" w:hAnsi="Calibri" w:cs="Calibri"/>
          <w:lang w:val="en-AU"/>
        </w:rPr>
        <w:t>30 March 2023</w:t>
      </w:r>
      <w:r w:rsidRPr="712A0D1E">
        <w:rPr>
          <w:rStyle w:val="normaltextrun"/>
          <w:rFonts w:ascii="Calibri" w:hAnsi="Calibri" w:cs="Calibri"/>
          <w:lang w:val="en-AU"/>
        </w:rPr>
        <w:t>.</w:t>
      </w:r>
    </w:p>
    <w:p w14:paraId="1A6BE271" w14:textId="75031A43" w:rsidR="005972DC" w:rsidRPr="00D21D88" w:rsidRDefault="00E655AF" w:rsidP="0021035C">
      <w:pPr>
        <w:pStyle w:val="Heading1"/>
        <w:spacing w:after="240"/>
        <w:rPr>
          <w:rFonts w:ascii="Georgia" w:hAnsi="Georgia"/>
          <w:b/>
          <w:bCs/>
          <w:sz w:val="28"/>
          <w:szCs w:val="28"/>
        </w:rPr>
      </w:pPr>
      <w:r>
        <w:rPr>
          <w:rFonts w:ascii="Georgia" w:hAnsi="Georgia"/>
          <w:b/>
          <w:bCs/>
          <w:sz w:val="28"/>
          <w:szCs w:val="28"/>
        </w:rPr>
        <w:lastRenderedPageBreak/>
        <w:t xml:space="preserve">Focus Area 1: </w:t>
      </w:r>
      <w:r w:rsidR="00FA0CE7">
        <w:rPr>
          <w:rFonts w:ascii="Georgia" w:hAnsi="Georgia"/>
          <w:b/>
          <w:bCs/>
          <w:sz w:val="28"/>
          <w:szCs w:val="28"/>
        </w:rPr>
        <w:t>Organi</w:t>
      </w:r>
      <w:r w:rsidR="00D6113D">
        <w:rPr>
          <w:rFonts w:ascii="Georgia" w:hAnsi="Georgia"/>
          <w:b/>
          <w:bCs/>
          <w:sz w:val="28"/>
          <w:szCs w:val="28"/>
        </w:rPr>
        <w:t>s</w:t>
      </w:r>
      <w:r w:rsidR="00FA0CE7">
        <w:rPr>
          <w:rFonts w:ascii="Georgia" w:hAnsi="Georgia"/>
          <w:b/>
          <w:bCs/>
          <w:sz w:val="28"/>
          <w:szCs w:val="28"/>
        </w:rPr>
        <w:t xml:space="preserve">ational </w:t>
      </w:r>
      <w:r w:rsidR="0044595E">
        <w:rPr>
          <w:rFonts w:ascii="Georgia" w:hAnsi="Georgia"/>
          <w:b/>
          <w:bCs/>
          <w:sz w:val="28"/>
          <w:szCs w:val="28"/>
        </w:rPr>
        <w:t xml:space="preserve">Culture </w:t>
      </w:r>
      <w:r w:rsidR="00FA0CE7">
        <w:rPr>
          <w:rFonts w:ascii="Georgia" w:hAnsi="Georgia"/>
          <w:b/>
          <w:bCs/>
          <w:sz w:val="28"/>
          <w:szCs w:val="28"/>
        </w:rPr>
        <w:t>and Attitudes</w:t>
      </w:r>
    </w:p>
    <w:p w14:paraId="0B2EC21A" w14:textId="7BCF7EE6" w:rsidR="002E5B19" w:rsidRPr="002E5B19" w:rsidRDefault="002E5B19" w:rsidP="002E5B19">
      <w:pPr>
        <w:jc w:val="center"/>
        <w:rPr>
          <w:b/>
          <w:bCs/>
          <w:i/>
          <w:iCs/>
          <w:color w:val="000000" w:themeColor="text1"/>
          <w:sz w:val="24"/>
          <w:szCs w:val="24"/>
          <w:lang w:val="en-AU"/>
        </w:rPr>
      </w:pPr>
      <w:r w:rsidRPr="002E5B19">
        <w:rPr>
          <w:b/>
          <w:bCs/>
          <w:i/>
          <w:iCs/>
          <w:color w:val="000000" w:themeColor="text1"/>
          <w:sz w:val="24"/>
          <w:szCs w:val="24"/>
          <w:lang w:val="en-AU"/>
        </w:rPr>
        <w:t xml:space="preserve">Goal: </w:t>
      </w:r>
      <w:r w:rsidRPr="002E5E8C">
        <w:rPr>
          <w:i/>
          <w:iCs/>
          <w:color w:val="000000" w:themeColor="text1"/>
          <w:sz w:val="24"/>
          <w:szCs w:val="24"/>
          <w:lang w:val="en-AU"/>
        </w:rPr>
        <w:t>The University is a safe, welcoming, supportive and engaging place for students</w:t>
      </w:r>
      <w:r w:rsidR="00D23DAE">
        <w:rPr>
          <w:i/>
          <w:iCs/>
          <w:color w:val="000000" w:themeColor="text1"/>
          <w:sz w:val="24"/>
          <w:szCs w:val="24"/>
          <w:lang w:val="en-AU"/>
        </w:rPr>
        <w:t>,</w:t>
      </w:r>
      <w:r w:rsidRPr="002E5E8C">
        <w:rPr>
          <w:i/>
          <w:iCs/>
          <w:color w:val="000000" w:themeColor="text1"/>
          <w:sz w:val="24"/>
          <w:szCs w:val="24"/>
          <w:lang w:val="en-AU"/>
        </w:rPr>
        <w:t xml:space="preserve"> </w:t>
      </w:r>
      <w:r w:rsidR="00D23DAE" w:rsidRPr="002E5E8C">
        <w:rPr>
          <w:i/>
          <w:iCs/>
          <w:color w:val="000000" w:themeColor="text1"/>
          <w:sz w:val="24"/>
          <w:szCs w:val="24"/>
          <w:lang w:val="en-AU"/>
        </w:rPr>
        <w:t xml:space="preserve">staff </w:t>
      </w:r>
      <w:r w:rsidRPr="002E5E8C">
        <w:rPr>
          <w:i/>
          <w:iCs/>
          <w:color w:val="000000" w:themeColor="text1"/>
          <w:sz w:val="24"/>
          <w:szCs w:val="24"/>
          <w:lang w:val="en-AU"/>
        </w:rPr>
        <w:t xml:space="preserve">and visitors </w:t>
      </w:r>
      <w:r w:rsidR="00B466DE">
        <w:rPr>
          <w:i/>
          <w:iCs/>
          <w:color w:val="000000" w:themeColor="text1"/>
          <w:sz w:val="24"/>
          <w:szCs w:val="24"/>
          <w:lang w:val="en-AU"/>
        </w:rPr>
        <w:t>with</w:t>
      </w:r>
      <w:r w:rsidRPr="002E5E8C">
        <w:rPr>
          <w:i/>
          <w:iCs/>
          <w:color w:val="000000" w:themeColor="text1"/>
          <w:sz w:val="24"/>
          <w:szCs w:val="24"/>
          <w:lang w:val="en-AU"/>
        </w:rPr>
        <w:t xml:space="preserve"> </w:t>
      </w:r>
      <w:r w:rsidR="00FA0F83">
        <w:rPr>
          <w:i/>
          <w:iCs/>
          <w:color w:val="000000" w:themeColor="text1"/>
          <w:sz w:val="24"/>
          <w:szCs w:val="24"/>
          <w:lang w:val="en-AU"/>
        </w:rPr>
        <w:t>disabilit</w:t>
      </w:r>
      <w:r w:rsidR="00B466DE">
        <w:rPr>
          <w:i/>
          <w:iCs/>
          <w:color w:val="000000" w:themeColor="text1"/>
          <w:sz w:val="24"/>
          <w:szCs w:val="24"/>
          <w:lang w:val="en-AU"/>
        </w:rPr>
        <w:t>y</w:t>
      </w:r>
      <w:r w:rsidR="00852B16">
        <w:rPr>
          <w:i/>
          <w:iCs/>
          <w:color w:val="000000" w:themeColor="text1"/>
          <w:sz w:val="24"/>
          <w:szCs w:val="24"/>
          <w:lang w:val="en-AU"/>
        </w:rPr>
        <w:t>,</w:t>
      </w:r>
      <w:r w:rsidRPr="002E5E8C">
        <w:rPr>
          <w:i/>
          <w:iCs/>
          <w:color w:val="000000" w:themeColor="text1"/>
          <w:sz w:val="24"/>
          <w:szCs w:val="24"/>
          <w:lang w:val="en-AU"/>
        </w:rPr>
        <w:t xml:space="preserve"> and demonstrates </w:t>
      </w:r>
      <w:r w:rsidR="00653AA7">
        <w:rPr>
          <w:i/>
          <w:iCs/>
          <w:color w:val="000000" w:themeColor="text1"/>
          <w:sz w:val="24"/>
          <w:szCs w:val="24"/>
          <w:lang w:val="en-AU"/>
        </w:rPr>
        <w:t>a</w:t>
      </w:r>
      <w:r w:rsidRPr="002E5E8C">
        <w:rPr>
          <w:i/>
          <w:iCs/>
          <w:color w:val="000000" w:themeColor="text1"/>
          <w:sz w:val="24"/>
          <w:szCs w:val="24"/>
          <w:lang w:val="en-AU"/>
        </w:rPr>
        <w:t xml:space="preserve"> commitment to becoming a leader in disability inclusion and accessibility.</w:t>
      </w:r>
    </w:p>
    <w:tbl>
      <w:tblPr>
        <w:tblW w:w="14743" w:type="dxa"/>
        <w:tblInd w:w="-709" w:type="dxa"/>
        <w:tblBorders>
          <w:top w:val="single" w:sz="2" w:space="0" w:color="808080" w:themeColor="background1" w:themeShade="80"/>
          <w:bottom w:val="single" w:sz="2" w:space="0" w:color="808080" w:themeColor="background1" w:themeShade="80"/>
          <w:insideH w:val="single" w:sz="2" w:space="0" w:color="808080" w:themeColor="background1" w:themeShade="80"/>
        </w:tblBorders>
        <w:tblCellMar>
          <w:left w:w="0" w:type="dxa"/>
          <w:right w:w="0" w:type="dxa"/>
        </w:tblCellMar>
        <w:tblLook w:val="04A0" w:firstRow="1" w:lastRow="0" w:firstColumn="1" w:lastColumn="0" w:noHBand="0" w:noVBand="1"/>
      </w:tblPr>
      <w:tblGrid>
        <w:gridCol w:w="1985"/>
        <w:gridCol w:w="8789"/>
        <w:gridCol w:w="1275"/>
        <w:gridCol w:w="2694"/>
      </w:tblGrid>
      <w:tr w:rsidR="00B07113" w:rsidRPr="00BC320C" w14:paraId="36C961D3" w14:textId="77777777" w:rsidTr="00367169">
        <w:trPr>
          <w:trHeight w:val="796"/>
        </w:trPr>
        <w:tc>
          <w:tcPr>
            <w:tcW w:w="1985" w:type="dxa"/>
            <w:shd w:val="clear" w:color="auto" w:fill="C5DFCC"/>
            <w:tcMar>
              <w:top w:w="57" w:type="dxa"/>
              <w:left w:w="57" w:type="dxa"/>
              <w:bottom w:w="57" w:type="dxa"/>
              <w:right w:w="85" w:type="dxa"/>
            </w:tcMar>
          </w:tcPr>
          <w:p w14:paraId="1ACEFC0A" w14:textId="0193CCD6" w:rsidR="00B07113" w:rsidRPr="00BC320C" w:rsidRDefault="00B07113" w:rsidP="003862AA">
            <w:pPr>
              <w:rPr>
                <w:b/>
                <w:bCs/>
                <w:lang w:val="en-AU"/>
              </w:rPr>
            </w:pPr>
          </w:p>
        </w:tc>
        <w:tc>
          <w:tcPr>
            <w:tcW w:w="8789" w:type="dxa"/>
            <w:shd w:val="clear" w:color="auto" w:fill="C5DFCC"/>
            <w:tcMar>
              <w:top w:w="57" w:type="dxa"/>
              <w:left w:w="57" w:type="dxa"/>
              <w:bottom w:w="57" w:type="dxa"/>
              <w:right w:w="85" w:type="dxa"/>
            </w:tcMar>
            <w:vAlign w:val="center"/>
          </w:tcPr>
          <w:p w14:paraId="11A7BD17" w14:textId="1E25DB60" w:rsidR="00B07113" w:rsidRPr="00161689" w:rsidRDefault="00790157" w:rsidP="00F92330">
            <w:pPr>
              <w:jc w:val="center"/>
            </w:pPr>
            <w:r w:rsidRPr="00425668">
              <w:rPr>
                <w:b/>
                <w:bCs/>
                <w:sz w:val="24"/>
                <w:szCs w:val="24"/>
              </w:rPr>
              <w:t>EDUCATION AND RESOURCES</w:t>
            </w:r>
          </w:p>
        </w:tc>
        <w:tc>
          <w:tcPr>
            <w:tcW w:w="1275" w:type="dxa"/>
          </w:tcPr>
          <w:p w14:paraId="6B0DCA55" w14:textId="0BE21D94" w:rsidR="0074203C" w:rsidRPr="0074203C" w:rsidRDefault="0074203C" w:rsidP="0074203C">
            <w:pPr>
              <w:spacing w:after="0"/>
              <w:jc w:val="center"/>
              <w:rPr>
                <w:b/>
                <w:bCs/>
                <w:i/>
                <w:iCs/>
                <w:lang w:val="en-AU"/>
              </w:rPr>
            </w:pPr>
            <w:r>
              <w:rPr>
                <w:b/>
                <w:bCs/>
                <w:i/>
                <w:iCs/>
                <w:lang w:val="en-AU"/>
              </w:rPr>
              <w:t>Indicative t</w:t>
            </w:r>
            <w:r w:rsidR="00790157">
              <w:rPr>
                <w:b/>
                <w:bCs/>
                <w:i/>
                <w:iCs/>
                <w:lang w:val="en-AU"/>
              </w:rPr>
              <w:t>imeline to commence</w:t>
            </w:r>
          </w:p>
        </w:tc>
        <w:tc>
          <w:tcPr>
            <w:tcW w:w="2694" w:type="dxa"/>
            <w:shd w:val="clear" w:color="auto" w:fill="F2F2F2" w:themeFill="background1" w:themeFillShade="F2"/>
            <w:vAlign w:val="center"/>
          </w:tcPr>
          <w:p w14:paraId="0B181AD0" w14:textId="0AF09510" w:rsidR="00B07113" w:rsidRPr="00E305B5" w:rsidRDefault="00790157" w:rsidP="00F92330">
            <w:pPr>
              <w:jc w:val="center"/>
            </w:pPr>
            <w:r>
              <w:rPr>
                <w:b/>
                <w:bCs/>
                <w:i/>
                <w:iCs/>
                <w:lang w:val="en-AU"/>
              </w:rPr>
              <w:t>Accountable</w:t>
            </w:r>
            <w:r w:rsidRPr="004B37A3">
              <w:rPr>
                <w:b/>
                <w:bCs/>
                <w:i/>
                <w:iCs/>
                <w:lang w:val="en-AU"/>
              </w:rPr>
              <w:t xml:space="preserve"> for implementation</w:t>
            </w:r>
          </w:p>
        </w:tc>
      </w:tr>
      <w:tr w:rsidR="00555157" w:rsidRPr="00BC320C" w14:paraId="46995A9D" w14:textId="77777777" w:rsidTr="00367169">
        <w:trPr>
          <w:trHeight w:val="796"/>
        </w:trPr>
        <w:tc>
          <w:tcPr>
            <w:tcW w:w="1985" w:type="dxa"/>
            <w:shd w:val="clear" w:color="auto" w:fill="E2EFE5"/>
            <w:tcMar>
              <w:top w:w="57" w:type="dxa"/>
              <w:left w:w="57" w:type="dxa"/>
              <w:bottom w:w="57" w:type="dxa"/>
              <w:right w:w="85" w:type="dxa"/>
            </w:tcMar>
            <w:hideMark/>
          </w:tcPr>
          <w:p w14:paraId="53B1578E" w14:textId="69D5C71F" w:rsidR="00555157" w:rsidRPr="00BC320C" w:rsidRDefault="00555157" w:rsidP="003862AA">
            <w:r w:rsidRPr="00BC320C">
              <w:rPr>
                <w:b/>
                <w:bCs/>
                <w:lang w:val="en-AU"/>
              </w:rPr>
              <w:t>1.</w:t>
            </w:r>
            <w:r>
              <w:rPr>
                <w:b/>
                <w:bCs/>
                <w:lang w:val="en-AU"/>
              </w:rPr>
              <w:t>1</w:t>
            </w:r>
            <w:r w:rsidRPr="00BC320C">
              <w:rPr>
                <w:b/>
                <w:bCs/>
                <w:lang w:val="en-AU"/>
              </w:rPr>
              <w:t xml:space="preserve"> </w:t>
            </w:r>
            <w:r w:rsidR="006762BF">
              <w:rPr>
                <w:b/>
                <w:bCs/>
                <w:lang w:val="en-AU"/>
              </w:rPr>
              <w:t xml:space="preserve">– Training </w:t>
            </w:r>
            <w:r w:rsidR="001A1993">
              <w:rPr>
                <w:b/>
                <w:bCs/>
                <w:lang w:val="en-AU"/>
              </w:rPr>
              <w:t>program</w:t>
            </w:r>
          </w:p>
        </w:tc>
        <w:tc>
          <w:tcPr>
            <w:tcW w:w="8789" w:type="dxa"/>
            <w:shd w:val="clear" w:color="auto" w:fill="auto"/>
            <w:tcMar>
              <w:top w:w="57" w:type="dxa"/>
              <w:left w:w="57" w:type="dxa"/>
              <w:bottom w:w="57" w:type="dxa"/>
              <w:right w:w="85" w:type="dxa"/>
            </w:tcMar>
            <w:hideMark/>
          </w:tcPr>
          <w:p w14:paraId="0DA5FFE8" w14:textId="77777777" w:rsidR="00555157" w:rsidRDefault="00393850" w:rsidP="003E521B">
            <w:pPr>
              <w:spacing w:after="120"/>
            </w:pPr>
            <w:r w:rsidRPr="00161689">
              <w:t>Develop a comprehensive University-wide training program on disability inclusion including:</w:t>
            </w:r>
          </w:p>
          <w:p w14:paraId="07D867F8" w14:textId="118AECFD" w:rsidR="00774B9A" w:rsidRPr="006300B1" w:rsidRDefault="003273A5" w:rsidP="00774B9A">
            <w:pPr>
              <w:pStyle w:val="ListParagraph"/>
              <w:numPr>
                <w:ilvl w:val="0"/>
                <w:numId w:val="9"/>
              </w:numPr>
            </w:pPr>
            <w:r w:rsidRPr="006300B1">
              <w:t xml:space="preserve">Promote and increase staff uptake of currently available online module, </w:t>
            </w:r>
            <w:r w:rsidRPr="006300B1">
              <w:rPr>
                <w:i/>
                <w:iCs/>
              </w:rPr>
              <w:t>Introduction to Disability Awarenes</w:t>
            </w:r>
            <w:r w:rsidR="008F1449">
              <w:rPr>
                <w:i/>
                <w:iCs/>
              </w:rPr>
              <w:t>s</w:t>
            </w:r>
          </w:p>
          <w:p w14:paraId="38D02783" w14:textId="758808E4" w:rsidR="003273A5" w:rsidRPr="006300B1" w:rsidRDefault="002E6185" w:rsidP="00774B9A">
            <w:pPr>
              <w:pStyle w:val="ListParagraph"/>
              <w:numPr>
                <w:ilvl w:val="0"/>
                <w:numId w:val="9"/>
              </w:numPr>
            </w:pPr>
            <w:r w:rsidRPr="006300B1">
              <w:t>New training in Disability Confidence for targeted groups of staff (including but not limited to</w:t>
            </w:r>
            <w:r w:rsidR="00B87389">
              <w:t xml:space="preserve"> </w:t>
            </w:r>
            <w:r w:rsidRPr="006300B1">
              <w:t>student-facing roles, hiring managers, promotions panel members</w:t>
            </w:r>
            <w:r w:rsidR="008F1449">
              <w:t>)</w:t>
            </w:r>
          </w:p>
          <w:p w14:paraId="416FAB1E" w14:textId="19B27364" w:rsidR="00D15CB1" w:rsidRPr="006300B1" w:rsidRDefault="00D15CB1" w:rsidP="00774B9A">
            <w:pPr>
              <w:pStyle w:val="ListParagraph"/>
              <w:numPr>
                <w:ilvl w:val="0"/>
                <w:numId w:val="9"/>
              </w:numPr>
            </w:pPr>
            <w:r w:rsidRPr="006300B1">
              <w:t>Digital accessibility training for staff responsible for digital assets, website development and marketing and communications</w:t>
            </w:r>
          </w:p>
          <w:p w14:paraId="5ABD8210" w14:textId="28041A58" w:rsidR="002B1736" w:rsidRPr="006300B1" w:rsidRDefault="002B1736" w:rsidP="00774B9A">
            <w:pPr>
              <w:pStyle w:val="ListParagraph"/>
              <w:numPr>
                <w:ilvl w:val="0"/>
                <w:numId w:val="9"/>
              </w:numPr>
            </w:pPr>
            <w:r w:rsidRPr="006300B1">
              <w:t xml:space="preserve">Professional development on Universal Design for Learning (UDL) </w:t>
            </w:r>
            <w:r w:rsidR="005B4DF4">
              <w:t>for</w:t>
            </w:r>
            <w:r w:rsidRPr="006300B1">
              <w:t xml:space="preserve"> teaching staff</w:t>
            </w:r>
          </w:p>
          <w:p w14:paraId="5578B3E2" w14:textId="2C3FCD41" w:rsidR="002B1736" w:rsidRPr="00161689" w:rsidRDefault="006300B1" w:rsidP="00774B9A">
            <w:pPr>
              <w:pStyle w:val="ListParagraph"/>
              <w:numPr>
                <w:ilvl w:val="0"/>
                <w:numId w:val="9"/>
              </w:numPr>
            </w:pPr>
            <w:r w:rsidRPr="006300B1">
              <w:rPr>
                <w:rFonts w:ascii="Calibri" w:eastAsia="Calibri" w:hAnsi="Calibri" w:cs="Calibri"/>
                <w:color w:val="000000" w:themeColor="text1"/>
              </w:rPr>
              <w:t>Inclusive Leadership professional development for managers and senior leadership to build capacity and model best practice in relation to inclusion and accessibility. This will have a broad D&amp;I focus with content on disability inclusion.</w:t>
            </w:r>
          </w:p>
        </w:tc>
        <w:tc>
          <w:tcPr>
            <w:tcW w:w="1275" w:type="dxa"/>
          </w:tcPr>
          <w:p w14:paraId="1299C204" w14:textId="208E7A0F" w:rsidR="00555157" w:rsidRPr="005C364D" w:rsidRDefault="006300B1" w:rsidP="003862AA">
            <w:pPr>
              <w:jc w:val="center"/>
              <w:rPr>
                <w:lang w:val="en-AU"/>
              </w:rPr>
            </w:pPr>
            <w:r>
              <w:rPr>
                <w:lang w:val="en-AU"/>
              </w:rPr>
              <w:t>2023</w:t>
            </w:r>
            <w:r w:rsidR="006177CE">
              <w:rPr>
                <w:lang w:val="en-AU"/>
              </w:rPr>
              <w:t>-</w:t>
            </w:r>
            <w:r w:rsidR="006177CE">
              <w:t>2024</w:t>
            </w:r>
          </w:p>
        </w:tc>
        <w:tc>
          <w:tcPr>
            <w:tcW w:w="2694" w:type="dxa"/>
            <w:shd w:val="clear" w:color="auto" w:fill="F2F2F2" w:themeFill="background1" w:themeFillShade="F2"/>
          </w:tcPr>
          <w:p w14:paraId="58657DE2" w14:textId="77777777" w:rsidR="00943EEB" w:rsidRDefault="00E305B5" w:rsidP="009A39AC">
            <w:pPr>
              <w:jc w:val="center"/>
            </w:pPr>
            <w:r w:rsidRPr="00E305B5">
              <w:t>Director D</w:t>
            </w:r>
            <w:r w:rsidR="00730EFA">
              <w:t xml:space="preserve">iversity </w:t>
            </w:r>
            <w:r w:rsidRPr="00E305B5">
              <w:t>&amp;</w:t>
            </w:r>
            <w:r w:rsidR="00730EFA">
              <w:t xml:space="preserve"> </w:t>
            </w:r>
            <w:r w:rsidRPr="00E305B5">
              <w:t>I</w:t>
            </w:r>
            <w:r w:rsidR="00730EFA">
              <w:t>nclusion</w:t>
            </w:r>
          </w:p>
          <w:p w14:paraId="2FB4CFEC" w14:textId="7A062279" w:rsidR="00555157" w:rsidRPr="00E305B5" w:rsidRDefault="00E305B5" w:rsidP="009A39AC">
            <w:pPr>
              <w:jc w:val="center"/>
              <w:rPr>
                <w:lang w:val="en-AU"/>
              </w:rPr>
            </w:pPr>
            <w:r w:rsidRPr="00E305B5">
              <w:t>Chief H</w:t>
            </w:r>
            <w:r w:rsidR="00730EFA">
              <w:t xml:space="preserve">uman </w:t>
            </w:r>
            <w:r w:rsidRPr="00E305B5">
              <w:t>R</w:t>
            </w:r>
            <w:r w:rsidR="00730EFA">
              <w:t>esources</w:t>
            </w:r>
            <w:r w:rsidRPr="00E305B5">
              <w:t xml:space="preserve"> Officer </w:t>
            </w:r>
          </w:p>
        </w:tc>
      </w:tr>
      <w:tr w:rsidR="00555157" w14:paraId="697BE805" w14:textId="77777777" w:rsidTr="00367169">
        <w:trPr>
          <w:trHeight w:val="80"/>
        </w:trPr>
        <w:tc>
          <w:tcPr>
            <w:tcW w:w="1985" w:type="dxa"/>
            <w:shd w:val="clear" w:color="auto" w:fill="E2EFE5"/>
            <w:tcMar>
              <w:top w:w="57" w:type="dxa"/>
              <w:left w:w="57" w:type="dxa"/>
              <w:bottom w:w="57" w:type="dxa"/>
              <w:right w:w="85" w:type="dxa"/>
            </w:tcMar>
          </w:tcPr>
          <w:p w14:paraId="043616A0" w14:textId="4944E2C0" w:rsidR="00555157" w:rsidRPr="002546B9" w:rsidRDefault="00555157" w:rsidP="003862AA">
            <w:pPr>
              <w:rPr>
                <w:b/>
                <w:bCs/>
                <w:lang w:val="en-AU"/>
              </w:rPr>
            </w:pPr>
            <w:r w:rsidRPr="00BC320C">
              <w:rPr>
                <w:b/>
                <w:bCs/>
                <w:lang w:val="en-AU"/>
              </w:rPr>
              <w:t>1.</w:t>
            </w:r>
            <w:r>
              <w:rPr>
                <w:b/>
                <w:bCs/>
                <w:lang w:val="en-AU"/>
              </w:rPr>
              <w:t>2</w:t>
            </w:r>
            <w:r w:rsidRPr="00BC320C">
              <w:rPr>
                <w:b/>
                <w:bCs/>
                <w:lang w:val="en-AU"/>
              </w:rPr>
              <w:t xml:space="preserve"> – </w:t>
            </w:r>
            <w:r w:rsidR="005070F5">
              <w:rPr>
                <w:b/>
                <w:bCs/>
                <w:lang w:val="en-AU"/>
              </w:rPr>
              <w:t>D&amp;I toolkit</w:t>
            </w:r>
          </w:p>
        </w:tc>
        <w:tc>
          <w:tcPr>
            <w:tcW w:w="8789" w:type="dxa"/>
            <w:shd w:val="clear" w:color="auto" w:fill="auto"/>
            <w:tcMar>
              <w:top w:w="57" w:type="dxa"/>
              <w:left w:w="57" w:type="dxa"/>
              <w:bottom w:w="57" w:type="dxa"/>
              <w:right w:w="85" w:type="dxa"/>
            </w:tcMar>
          </w:tcPr>
          <w:p w14:paraId="023CAD20" w14:textId="0ECE9A03" w:rsidR="00555157" w:rsidRPr="005070F5" w:rsidRDefault="00176224" w:rsidP="003E521B">
            <w:pPr>
              <w:spacing w:after="120"/>
              <w:rPr>
                <w:rFonts w:ascii="Calibri" w:eastAsia="Calibri" w:hAnsi="Calibri" w:cs="Calibri"/>
              </w:rPr>
            </w:pPr>
            <w:r w:rsidRPr="005070F5">
              <w:rPr>
                <w:rFonts w:ascii="Calibri" w:eastAsia="Calibri" w:hAnsi="Calibri" w:cs="Calibri"/>
              </w:rPr>
              <w:t xml:space="preserve">Develop a diversity and inclusion toolkit available to all </w:t>
            </w:r>
            <w:r w:rsidR="00A84C37">
              <w:rPr>
                <w:rFonts w:ascii="Calibri" w:eastAsia="Calibri" w:hAnsi="Calibri" w:cs="Calibri"/>
              </w:rPr>
              <w:t>s</w:t>
            </w:r>
            <w:r w:rsidR="00A84C37">
              <w:rPr>
                <w:rFonts w:eastAsia="Calibri"/>
              </w:rPr>
              <w:t>tudents and staff</w:t>
            </w:r>
            <w:r w:rsidRPr="005070F5">
              <w:rPr>
                <w:rFonts w:ascii="Calibri" w:eastAsia="Calibri" w:hAnsi="Calibri" w:cs="Calibri"/>
              </w:rPr>
              <w:t xml:space="preserve"> incorporating:</w:t>
            </w:r>
          </w:p>
          <w:p w14:paraId="0DFB12EF" w14:textId="77777777" w:rsidR="00176224" w:rsidRPr="005070F5" w:rsidRDefault="00A26B63" w:rsidP="00A26B63">
            <w:pPr>
              <w:pStyle w:val="ListParagraph"/>
              <w:numPr>
                <w:ilvl w:val="0"/>
                <w:numId w:val="10"/>
              </w:numPr>
            </w:pPr>
            <w:r w:rsidRPr="005070F5">
              <w:rPr>
                <w:rFonts w:ascii="Calibri" w:eastAsia="Calibri" w:hAnsi="Calibri" w:cs="Calibri"/>
              </w:rPr>
              <w:t>Inclusive language guide</w:t>
            </w:r>
          </w:p>
          <w:p w14:paraId="3D9BB7B9" w14:textId="77777777" w:rsidR="00A26B63" w:rsidRPr="005070F5" w:rsidRDefault="00BB0AD4" w:rsidP="00A26B63">
            <w:pPr>
              <w:pStyle w:val="ListParagraph"/>
              <w:numPr>
                <w:ilvl w:val="0"/>
                <w:numId w:val="10"/>
              </w:numPr>
            </w:pPr>
            <w:r w:rsidRPr="005070F5">
              <w:rPr>
                <w:rFonts w:ascii="Calibri" w:eastAsia="Calibri" w:hAnsi="Calibri" w:cs="Calibri"/>
              </w:rPr>
              <w:t xml:space="preserve">Inclusive events guide  </w:t>
            </w:r>
          </w:p>
          <w:p w14:paraId="196D6A27" w14:textId="77777777" w:rsidR="00BB0AD4" w:rsidRPr="005070F5" w:rsidRDefault="00AD4F34" w:rsidP="00A26B63">
            <w:pPr>
              <w:pStyle w:val="ListParagraph"/>
              <w:numPr>
                <w:ilvl w:val="0"/>
                <w:numId w:val="10"/>
              </w:numPr>
            </w:pPr>
            <w:r w:rsidRPr="005070F5">
              <w:rPr>
                <w:rFonts w:ascii="Calibri" w:eastAsia="Calibri" w:hAnsi="Calibri" w:cs="Calibri"/>
              </w:rPr>
              <w:t>Guidance on creating accessible documents and resources</w:t>
            </w:r>
          </w:p>
          <w:p w14:paraId="74CA6607" w14:textId="40736854" w:rsidR="00AD4F34" w:rsidRPr="005070F5" w:rsidRDefault="002F0130" w:rsidP="00A26B63">
            <w:pPr>
              <w:pStyle w:val="ListParagraph"/>
              <w:numPr>
                <w:ilvl w:val="0"/>
                <w:numId w:val="10"/>
              </w:numPr>
            </w:pPr>
            <w:r w:rsidRPr="005070F5">
              <w:rPr>
                <w:rFonts w:ascii="Calibri" w:eastAsia="Calibri" w:hAnsi="Calibri" w:cs="Calibri"/>
              </w:rPr>
              <w:t>A directory to find resources and support</w:t>
            </w:r>
            <w:r w:rsidR="008F1449">
              <w:rPr>
                <w:rFonts w:ascii="Calibri" w:eastAsia="Calibri" w:hAnsi="Calibri" w:cs="Calibri"/>
              </w:rPr>
              <w:t>.</w:t>
            </w:r>
          </w:p>
          <w:p w14:paraId="2A0EA695" w14:textId="76C621F0" w:rsidR="00BC181B" w:rsidRPr="00A8541A" w:rsidRDefault="005070F5" w:rsidP="002F0130">
            <w:pPr>
              <w:rPr>
                <w:rFonts w:ascii="Calibri" w:eastAsia="Calibri" w:hAnsi="Calibri" w:cs="Calibri"/>
              </w:rPr>
            </w:pPr>
            <w:r w:rsidRPr="005070F5">
              <w:rPr>
                <w:rFonts w:ascii="Calibri" w:eastAsia="Calibri" w:hAnsi="Calibri" w:cs="Calibri"/>
              </w:rPr>
              <w:t>The resources in the toolkit will have a broad D&amp;I focus with specific content relevant to disability inclusion.</w:t>
            </w:r>
          </w:p>
        </w:tc>
        <w:tc>
          <w:tcPr>
            <w:tcW w:w="1275" w:type="dxa"/>
          </w:tcPr>
          <w:p w14:paraId="0F196D49" w14:textId="5D9570D2" w:rsidR="00555157" w:rsidRDefault="005070F5" w:rsidP="003862AA">
            <w:pPr>
              <w:jc w:val="center"/>
              <w:rPr>
                <w:lang w:val="en-AU"/>
              </w:rPr>
            </w:pPr>
            <w:r>
              <w:rPr>
                <w:lang w:val="en-AU"/>
              </w:rPr>
              <w:t>2023</w:t>
            </w:r>
          </w:p>
        </w:tc>
        <w:tc>
          <w:tcPr>
            <w:tcW w:w="2694" w:type="dxa"/>
            <w:shd w:val="clear" w:color="auto" w:fill="F2F2F2" w:themeFill="background1" w:themeFillShade="F2"/>
          </w:tcPr>
          <w:p w14:paraId="5D82441D" w14:textId="722DDBF4" w:rsidR="00555157" w:rsidRDefault="005070F5" w:rsidP="003862AA">
            <w:pPr>
              <w:jc w:val="center"/>
              <w:rPr>
                <w:lang w:val="en-AU"/>
              </w:rPr>
            </w:pPr>
            <w:r>
              <w:rPr>
                <w:lang w:val="en-AU"/>
              </w:rPr>
              <w:t>Director D</w:t>
            </w:r>
            <w:r w:rsidR="00730EFA">
              <w:rPr>
                <w:lang w:val="en-AU"/>
              </w:rPr>
              <w:t xml:space="preserve">iversity </w:t>
            </w:r>
            <w:r>
              <w:rPr>
                <w:lang w:val="en-AU"/>
              </w:rPr>
              <w:t>&amp;</w:t>
            </w:r>
            <w:r w:rsidR="00730EFA">
              <w:rPr>
                <w:lang w:val="en-AU"/>
              </w:rPr>
              <w:t xml:space="preserve"> </w:t>
            </w:r>
            <w:r>
              <w:rPr>
                <w:lang w:val="en-AU"/>
              </w:rPr>
              <w:t>I</w:t>
            </w:r>
            <w:r w:rsidR="00730EFA">
              <w:rPr>
                <w:lang w:val="en-AU"/>
              </w:rPr>
              <w:t>nclusion</w:t>
            </w:r>
          </w:p>
        </w:tc>
      </w:tr>
      <w:tr w:rsidR="00693643" w:rsidRPr="006805BA" w14:paraId="32753AAA" w14:textId="77777777" w:rsidTr="00367169">
        <w:trPr>
          <w:trHeight w:val="80"/>
        </w:trPr>
        <w:tc>
          <w:tcPr>
            <w:tcW w:w="1985" w:type="dxa"/>
            <w:shd w:val="clear" w:color="auto" w:fill="C5DFCC"/>
            <w:tcMar>
              <w:top w:w="57" w:type="dxa"/>
              <w:left w:w="57" w:type="dxa"/>
              <w:bottom w:w="57" w:type="dxa"/>
              <w:right w:w="85" w:type="dxa"/>
            </w:tcMar>
          </w:tcPr>
          <w:p w14:paraId="3B52A76C" w14:textId="77777777" w:rsidR="00693643" w:rsidRDefault="00693643" w:rsidP="00693643">
            <w:pPr>
              <w:rPr>
                <w:b/>
                <w:bCs/>
                <w:lang w:val="en-AU"/>
              </w:rPr>
            </w:pPr>
          </w:p>
        </w:tc>
        <w:tc>
          <w:tcPr>
            <w:tcW w:w="8789" w:type="dxa"/>
            <w:shd w:val="clear" w:color="auto" w:fill="C5DFCC"/>
            <w:tcMar>
              <w:top w:w="57" w:type="dxa"/>
              <w:left w:w="57" w:type="dxa"/>
              <w:bottom w:w="57" w:type="dxa"/>
              <w:right w:w="85" w:type="dxa"/>
            </w:tcMar>
            <w:vAlign w:val="center"/>
          </w:tcPr>
          <w:p w14:paraId="6CEDC0F5" w14:textId="15561A79" w:rsidR="00693643" w:rsidRPr="00D8582F" w:rsidRDefault="00693643" w:rsidP="00F92330">
            <w:pPr>
              <w:jc w:val="center"/>
              <w:rPr>
                <w:rFonts w:ascii="Calibri" w:eastAsia="Calibri" w:hAnsi="Calibri" w:cs="Calibri"/>
              </w:rPr>
            </w:pPr>
            <w:r w:rsidRPr="00773DF7">
              <w:rPr>
                <w:b/>
                <w:bCs/>
                <w:color w:val="000000" w:themeColor="text1"/>
                <w:sz w:val="24"/>
                <w:szCs w:val="24"/>
              </w:rPr>
              <w:t>LEADERSHIP AND ACCOUNTABILITY</w:t>
            </w:r>
          </w:p>
        </w:tc>
        <w:tc>
          <w:tcPr>
            <w:tcW w:w="1275" w:type="dxa"/>
            <w:vAlign w:val="center"/>
          </w:tcPr>
          <w:p w14:paraId="78107854" w14:textId="464F8087" w:rsidR="00693643" w:rsidRDefault="0074203C" w:rsidP="00F92330">
            <w:pPr>
              <w:spacing w:after="0"/>
              <w:jc w:val="center"/>
              <w:rPr>
                <w:lang w:val="en-AU"/>
              </w:rPr>
            </w:pPr>
            <w:r>
              <w:rPr>
                <w:b/>
                <w:bCs/>
                <w:i/>
                <w:iCs/>
                <w:lang w:val="en-AU"/>
              </w:rPr>
              <w:t>Indicative t</w:t>
            </w:r>
            <w:r w:rsidR="00693643">
              <w:rPr>
                <w:b/>
                <w:bCs/>
                <w:i/>
                <w:iCs/>
                <w:lang w:val="en-AU"/>
              </w:rPr>
              <w:t>imeline to commence</w:t>
            </w:r>
          </w:p>
        </w:tc>
        <w:tc>
          <w:tcPr>
            <w:tcW w:w="2694" w:type="dxa"/>
            <w:shd w:val="clear" w:color="auto" w:fill="F2F2F2" w:themeFill="background1" w:themeFillShade="F2"/>
            <w:vAlign w:val="center"/>
          </w:tcPr>
          <w:p w14:paraId="2AE51C23" w14:textId="0A967159" w:rsidR="00693643" w:rsidRPr="00072B37" w:rsidRDefault="00693643" w:rsidP="00F92330">
            <w:pPr>
              <w:jc w:val="center"/>
            </w:pPr>
            <w:r>
              <w:rPr>
                <w:b/>
                <w:bCs/>
                <w:i/>
                <w:iCs/>
                <w:lang w:val="en-AU"/>
              </w:rPr>
              <w:t>Accountable</w:t>
            </w:r>
            <w:r w:rsidRPr="004B37A3">
              <w:rPr>
                <w:b/>
                <w:bCs/>
                <w:i/>
                <w:iCs/>
                <w:lang w:val="en-AU"/>
              </w:rPr>
              <w:t xml:space="preserve"> for implementation</w:t>
            </w:r>
          </w:p>
        </w:tc>
      </w:tr>
      <w:tr w:rsidR="00693643" w:rsidRPr="006805BA" w14:paraId="07C2502E" w14:textId="77777777" w:rsidTr="00367169">
        <w:trPr>
          <w:trHeight w:val="80"/>
        </w:trPr>
        <w:tc>
          <w:tcPr>
            <w:tcW w:w="1985" w:type="dxa"/>
            <w:shd w:val="clear" w:color="auto" w:fill="E2EFE5"/>
            <w:tcMar>
              <w:top w:w="57" w:type="dxa"/>
              <w:left w:w="57" w:type="dxa"/>
              <w:bottom w:w="57" w:type="dxa"/>
              <w:right w:w="85" w:type="dxa"/>
            </w:tcMar>
          </w:tcPr>
          <w:p w14:paraId="08241594" w14:textId="3FEE9F29" w:rsidR="00693643" w:rsidRDefault="00693643" w:rsidP="00693643">
            <w:pPr>
              <w:rPr>
                <w:b/>
                <w:bCs/>
                <w:lang w:val="en-AU"/>
              </w:rPr>
            </w:pPr>
            <w:r>
              <w:rPr>
                <w:b/>
                <w:bCs/>
                <w:lang w:val="en-AU"/>
              </w:rPr>
              <w:t>1.3 Policies</w:t>
            </w:r>
            <w:r w:rsidR="00845B6C">
              <w:rPr>
                <w:b/>
                <w:bCs/>
                <w:lang w:val="en-AU"/>
              </w:rPr>
              <w:t xml:space="preserve"> to support disability inclusion</w:t>
            </w:r>
          </w:p>
        </w:tc>
        <w:tc>
          <w:tcPr>
            <w:tcW w:w="8789" w:type="dxa"/>
            <w:shd w:val="clear" w:color="auto" w:fill="auto"/>
            <w:tcMar>
              <w:top w:w="57" w:type="dxa"/>
              <w:left w:w="57" w:type="dxa"/>
              <w:bottom w:w="57" w:type="dxa"/>
              <w:right w:w="85" w:type="dxa"/>
            </w:tcMar>
          </w:tcPr>
          <w:p w14:paraId="6B5C79EC" w14:textId="4CFDF0EC" w:rsidR="00693643" w:rsidRPr="00D8582F" w:rsidRDefault="00693643" w:rsidP="00693643">
            <w:r w:rsidRPr="00D8582F">
              <w:rPr>
                <w:rFonts w:ascii="Calibri" w:eastAsia="Calibri" w:hAnsi="Calibri" w:cs="Calibri"/>
              </w:rPr>
              <w:t>Launch the new Disability, Accessibility and Inclusion Policy, and update University policies to align with this policy and the DIAP, including the Assessment and Results Policy.</w:t>
            </w:r>
          </w:p>
        </w:tc>
        <w:tc>
          <w:tcPr>
            <w:tcW w:w="1275" w:type="dxa"/>
          </w:tcPr>
          <w:p w14:paraId="55BE448D" w14:textId="5E3E6B1E" w:rsidR="00693643" w:rsidRDefault="00693643" w:rsidP="00693643">
            <w:pPr>
              <w:jc w:val="center"/>
              <w:rPr>
                <w:lang w:val="en-AU"/>
              </w:rPr>
            </w:pPr>
            <w:r>
              <w:rPr>
                <w:lang w:val="en-AU"/>
              </w:rPr>
              <w:t>2023</w:t>
            </w:r>
          </w:p>
        </w:tc>
        <w:tc>
          <w:tcPr>
            <w:tcW w:w="2694" w:type="dxa"/>
            <w:shd w:val="clear" w:color="auto" w:fill="F2F2F2" w:themeFill="background1" w:themeFillShade="F2"/>
          </w:tcPr>
          <w:p w14:paraId="1861DFDA" w14:textId="4810EB37" w:rsidR="00693643" w:rsidRDefault="00564CE1" w:rsidP="00693643">
            <w:pPr>
              <w:jc w:val="center"/>
            </w:pPr>
            <w:r>
              <w:t>D</w:t>
            </w:r>
            <w:r w:rsidR="0040006D">
              <w:t xml:space="preserve">eputy </w:t>
            </w:r>
            <w:r>
              <w:t>V</w:t>
            </w:r>
            <w:r w:rsidR="0040006D">
              <w:t>ice</w:t>
            </w:r>
            <w:r w:rsidR="00FF17BA">
              <w:t>-</w:t>
            </w:r>
            <w:r>
              <w:t>C</w:t>
            </w:r>
            <w:r w:rsidR="0040006D">
              <w:t>hancellor</w:t>
            </w:r>
            <w:r>
              <w:t xml:space="preserve"> </w:t>
            </w:r>
            <w:r w:rsidR="00534212">
              <w:t>(</w:t>
            </w:r>
            <w:r>
              <w:t xml:space="preserve">People </w:t>
            </w:r>
            <w:r w:rsidR="0040006D">
              <w:t>&amp; Community</w:t>
            </w:r>
            <w:r w:rsidR="00534212">
              <w:t>)</w:t>
            </w:r>
          </w:p>
          <w:p w14:paraId="7F58ABC3" w14:textId="7F87D0CA" w:rsidR="00693643" w:rsidRPr="00072B37" w:rsidRDefault="00693643" w:rsidP="00693643">
            <w:pPr>
              <w:jc w:val="center"/>
              <w:rPr>
                <w:lang w:val="en-AU"/>
              </w:rPr>
            </w:pPr>
            <w:r w:rsidRPr="00072B37">
              <w:t>President of Academic Board</w:t>
            </w:r>
          </w:p>
        </w:tc>
      </w:tr>
      <w:tr w:rsidR="00693643" w:rsidRPr="006805BA" w14:paraId="245B22B2" w14:textId="77777777" w:rsidTr="00367169">
        <w:trPr>
          <w:trHeight w:val="80"/>
        </w:trPr>
        <w:tc>
          <w:tcPr>
            <w:tcW w:w="1985" w:type="dxa"/>
            <w:shd w:val="clear" w:color="auto" w:fill="E2EFE5"/>
            <w:tcMar>
              <w:top w:w="57" w:type="dxa"/>
              <w:left w:w="57" w:type="dxa"/>
              <w:bottom w:w="57" w:type="dxa"/>
              <w:right w:w="85" w:type="dxa"/>
            </w:tcMar>
          </w:tcPr>
          <w:p w14:paraId="246606CF" w14:textId="692C76C8" w:rsidR="00693643" w:rsidRPr="00BC320C" w:rsidRDefault="00693643" w:rsidP="00693643">
            <w:pPr>
              <w:rPr>
                <w:b/>
                <w:bCs/>
                <w:lang w:val="en-AU"/>
              </w:rPr>
            </w:pPr>
            <w:r>
              <w:rPr>
                <w:b/>
                <w:bCs/>
                <w:lang w:val="en-AU"/>
              </w:rPr>
              <w:t>1.4 – Addressing feedback</w:t>
            </w:r>
          </w:p>
        </w:tc>
        <w:tc>
          <w:tcPr>
            <w:tcW w:w="8789" w:type="dxa"/>
            <w:shd w:val="clear" w:color="auto" w:fill="auto"/>
            <w:tcMar>
              <w:top w:w="57" w:type="dxa"/>
              <w:left w:w="57" w:type="dxa"/>
              <w:bottom w:w="57" w:type="dxa"/>
              <w:right w:w="85" w:type="dxa"/>
            </w:tcMar>
          </w:tcPr>
          <w:p w14:paraId="79200C36" w14:textId="6DFBDA05" w:rsidR="00693643" w:rsidRPr="00984912" w:rsidRDefault="00693643" w:rsidP="00693643">
            <w:r w:rsidRPr="00984912">
              <w:t xml:space="preserve">Scope a mechanism for </w:t>
            </w:r>
            <w:r w:rsidR="004C0935">
              <w:t xml:space="preserve">students and </w:t>
            </w:r>
            <w:r w:rsidRPr="00984912">
              <w:t>staff with disabilit</w:t>
            </w:r>
            <w:r w:rsidR="00B466DE">
              <w:t>y</w:t>
            </w:r>
            <w:r w:rsidRPr="00984912">
              <w:t xml:space="preserve"> to provide feedback, offer suggestions and solutions, raise concerns and barriers, and embed clear accountabilities to address concerns.</w:t>
            </w:r>
          </w:p>
        </w:tc>
        <w:tc>
          <w:tcPr>
            <w:tcW w:w="1275" w:type="dxa"/>
          </w:tcPr>
          <w:p w14:paraId="5D816BBA" w14:textId="43D736D5" w:rsidR="00693643" w:rsidRPr="006805BA" w:rsidRDefault="00693643" w:rsidP="00693643">
            <w:pPr>
              <w:jc w:val="center"/>
              <w:rPr>
                <w:lang w:val="en-AU"/>
              </w:rPr>
            </w:pPr>
            <w:r>
              <w:rPr>
                <w:lang w:val="en-AU"/>
              </w:rPr>
              <w:t>2</w:t>
            </w:r>
            <w:r>
              <w:t>023</w:t>
            </w:r>
          </w:p>
        </w:tc>
        <w:tc>
          <w:tcPr>
            <w:tcW w:w="2694" w:type="dxa"/>
            <w:shd w:val="clear" w:color="auto" w:fill="F2F2F2" w:themeFill="background1" w:themeFillShade="F2"/>
          </w:tcPr>
          <w:p w14:paraId="50F6BA6F" w14:textId="788344ED" w:rsidR="00693643" w:rsidRPr="006805BA" w:rsidRDefault="00693643" w:rsidP="00693643">
            <w:pPr>
              <w:jc w:val="center"/>
              <w:rPr>
                <w:rFonts w:ascii="Calibri" w:eastAsia="SimSun" w:hAnsi="Calibri" w:cs="Times New Roman"/>
                <w:szCs w:val="20"/>
              </w:rPr>
            </w:pPr>
            <w:r>
              <w:rPr>
                <w:lang w:val="en-AU"/>
              </w:rPr>
              <w:t>D</w:t>
            </w:r>
            <w:r>
              <w:t>eputy Vice</w:t>
            </w:r>
            <w:r w:rsidR="00FF17BA">
              <w:t>-</w:t>
            </w:r>
            <w:r>
              <w:t xml:space="preserve">Chancellor </w:t>
            </w:r>
            <w:r w:rsidR="00534212">
              <w:t>(</w:t>
            </w:r>
            <w:r>
              <w:t>People &amp; Community</w:t>
            </w:r>
            <w:r w:rsidR="00534212">
              <w:t>)</w:t>
            </w:r>
          </w:p>
        </w:tc>
      </w:tr>
      <w:tr w:rsidR="00693643" w14:paraId="2C0E8641" w14:textId="77777777" w:rsidTr="00367169">
        <w:trPr>
          <w:trHeight w:val="715"/>
        </w:trPr>
        <w:tc>
          <w:tcPr>
            <w:tcW w:w="1985" w:type="dxa"/>
            <w:shd w:val="clear" w:color="auto" w:fill="E2EFE5"/>
            <w:tcMar>
              <w:top w:w="57" w:type="dxa"/>
              <w:left w:w="57" w:type="dxa"/>
              <w:bottom w:w="57" w:type="dxa"/>
              <w:right w:w="85" w:type="dxa"/>
            </w:tcMar>
          </w:tcPr>
          <w:p w14:paraId="574ECF7E" w14:textId="56238745" w:rsidR="00693643" w:rsidRPr="00BC320C" w:rsidRDefault="00693643" w:rsidP="00693643">
            <w:pPr>
              <w:rPr>
                <w:b/>
                <w:bCs/>
                <w:lang w:val="en-AU"/>
              </w:rPr>
            </w:pPr>
            <w:r w:rsidRPr="00BC320C">
              <w:rPr>
                <w:b/>
                <w:bCs/>
                <w:lang w:val="en-AU"/>
              </w:rPr>
              <w:t>1.</w:t>
            </w:r>
            <w:r>
              <w:rPr>
                <w:b/>
                <w:bCs/>
                <w:lang w:val="en-AU"/>
              </w:rPr>
              <w:t xml:space="preserve">5 </w:t>
            </w:r>
            <w:r w:rsidRPr="00BC320C">
              <w:rPr>
                <w:b/>
                <w:bCs/>
                <w:lang w:val="en-AU"/>
              </w:rPr>
              <w:t xml:space="preserve">– </w:t>
            </w:r>
            <w:r>
              <w:rPr>
                <w:b/>
                <w:bCs/>
                <w:lang w:val="en-AU"/>
              </w:rPr>
              <w:t>L</w:t>
            </w:r>
            <w:r w:rsidR="00B92C45">
              <w:rPr>
                <w:b/>
                <w:bCs/>
                <w:lang w:val="en-AU"/>
              </w:rPr>
              <w:t>eadership</w:t>
            </w:r>
            <w:r>
              <w:rPr>
                <w:b/>
                <w:bCs/>
              </w:rPr>
              <w:t xml:space="preserve"> role</w:t>
            </w:r>
            <w:r w:rsidR="00845B6C">
              <w:rPr>
                <w:b/>
                <w:bCs/>
              </w:rPr>
              <w:t xml:space="preserve"> on disability inclusion</w:t>
            </w:r>
          </w:p>
        </w:tc>
        <w:tc>
          <w:tcPr>
            <w:tcW w:w="8789" w:type="dxa"/>
            <w:shd w:val="clear" w:color="auto" w:fill="auto"/>
            <w:tcMar>
              <w:top w:w="57" w:type="dxa"/>
              <w:left w:w="57" w:type="dxa"/>
              <w:bottom w:w="57" w:type="dxa"/>
              <w:right w:w="85" w:type="dxa"/>
            </w:tcMar>
          </w:tcPr>
          <w:p w14:paraId="4FA16A4E" w14:textId="58DF9116" w:rsidR="0087757B" w:rsidRPr="003E521B" w:rsidRDefault="00693643" w:rsidP="003E521B">
            <w:pPr>
              <w:spacing w:after="120"/>
              <w:rPr>
                <w:lang w:val="en-AU"/>
              </w:rPr>
            </w:pPr>
            <w:r w:rsidRPr="00911C2A">
              <w:t>Establish a role to champion disability inclusion at the University</w:t>
            </w:r>
            <w:r>
              <w:t xml:space="preserve">, </w:t>
            </w:r>
            <w:r w:rsidRPr="00476A00">
              <w:rPr>
                <w:lang w:val="en-AU"/>
              </w:rPr>
              <w:t xml:space="preserve">including advice around how the University can communicate a commitment to disability inclusion by: </w:t>
            </w:r>
          </w:p>
          <w:p w14:paraId="6147855E" w14:textId="2676277F" w:rsidR="00693643" w:rsidRPr="00476A00" w:rsidRDefault="00693643" w:rsidP="00693643">
            <w:pPr>
              <w:numPr>
                <w:ilvl w:val="0"/>
                <w:numId w:val="22"/>
              </w:numPr>
              <w:spacing w:after="0"/>
            </w:pPr>
            <w:r>
              <w:t>Increasing awareness of disability inclusion and promoting attitudinal change of staff and students</w:t>
            </w:r>
          </w:p>
          <w:p w14:paraId="46D4120F" w14:textId="1DD609D5" w:rsidR="00693643" w:rsidRDefault="00693643" w:rsidP="00693643">
            <w:pPr>
              <w:numPr>
                <w:ilvl w:val="0"/>
                <w:numId w:val="22"/>
              </w:numPr>
              <w:spacing w:after="0"/>
            </w:pPr>
            <w:r>
              <w:t>Responding to the concerns of students and staff with disabilit</w:t>
            </w:r>
            <w:r w:rsidR="00B466DE">
              <w:t>y</w:t>
            </w:r>
          </w:p>
          <w:p w14:paraId="057B03E5" w14:textId="54E813DF" w:rsidR="00693643" w:rsidRPr="00476A00" w:rsidRDefault="00693643" w:rsidP="005D11F8">
            <w:pPr>
              <w:numPr>
                <w:ilvl w:val="0"/>
                <w:numId w:val="22"/>
              </w:numPr>
            </w:pPr>
            <w:r w:rsidRPr="00476A00">
              <w:rPr>
                <w:lang w:val="en-AU"/>
              </w:rPr>
              <w:t xml:space="preserve">Reporting on progress of </w:t>
            </w:r>
            <w:r w:rsidR="00D773B3">
              <w:rPr>
                <w:lang w:val="en-AU"/>
              </w:rPr>
              <w:t>d</w:t>
            </w:r>
            <w:r w:rsidRPr="00476A00">
              <w:rPr>
                <w:lang w:val="en-AU"/>
              </w:rPr>
              <w:t xml:space="preserve">isability </w:t>
            </w:r>
            <w:r w:rsidR="00D773B3">
              <w:rPr>
                <w:lang w:val="en-AU"/>
              </w:rPr>
              <w:t>i</w:t>
            </w:r>
            <w:r w:rsidRPr="00476A00">
              <w:rPr>
                <w:lang w:val="en-AU"/>
              </w:rPr>
              <w:t>nclusion work</w:t>
            </w:r>
            <w:r w:rsidR="00E774F3">
              <w:rPr>
                <w:lang w:val="en-AU"/>
              </w:rPr>
              <w:t>.</w:t>
            </w:r>
          </w:p>
        </w:tc>
        <w:tc>
          <w:tcPr>
            <w:tcW w:w="1275" w:type="dxa"/>
          </w:tcPr>
          <w:p w14:paraId="5B5129FA" w14:textId="5BD0035C" w:rsidR="00693643" w:rsidRDefault="00693643" w:rsidP="00693643">
            <w:pPr>
              <w:jc w:val="center"/>
              <w:rPr>
                <w:lang w:val="en-AU"/>
              </w:rPr>
            </w:pPr>
            <w:r>
              <w:rPr>
                <w:lang w:val="en-AU"/>
              </w:rPr>
              <w:t>2</w:t>
            </w:r>
            <w:r>
              <w:t>024</w:t>
            </w:r>
          </w:p>
        </w:tc>
        <w:tc>
          <w:tcPr>
            <w:tcW w:w="2694" w:type="dxa"/>
            <w:shd w:val="clear" w:color="auto" w:fill="F2F2F2" w:themeFill="background1" w:themeFillShade="F2"/>
          </w:tcPr>
          <w:p w14:paraId="53C44817" w14:textId="73DF705B" w:rsidR="00693643" w:rsidRDefault="00693643" w:rsidP="00693643">
            <w:pPr>
              <w:jc w:val="center"/>
              <w:rPr>
                <w:lang w:val="en-AU"/>
              </w:rPr>
            </w:pPr>
            <w:r>
              <w:rPr>
                <w:lang w:val="en-AU"/>
              </w:rPr>
              <w:t>D</w:t>
            </w:r>
            <w:r>
              <w:t>eputy Vice</w:t>
            </w:r>
            <w:r w:rsidR="00FF17BA">
              <w:t>-</w:t>
            </w:r>
            <w:r>
              <w:t xml:space="preserve">Chancellor </w:t>
            </w:r>
            <w:r w:rsidR="00534212">
              <w:t>(</w:t>
            </w:r>
            <w:r>
              <w:t>People &amp; Community</w:t>
            </w:r>
            <w:r w:rsidR="00534212">
              <w:t>)</w:t>
            </w:r>
          </w:p>
        </w:tc>
      </w:tr>
      <w:tr w:rsidR="00693643" w:rsidRPr="00BC320C" w14:paraId="0C824B26" w14:textId="77777777" w:rsidTr="00367169">
        <w:trPr>
          <w:trHeight w:val="796"/>
        </w:trPr>
        <w:tc>
          <w:tcPr>
            <w:tcW w:w="1985" w:type="dxa"/>
            <w:shd w:val="clear" w:color="auto" w:fill="C5DFCC"/>
            <w:tcMar>
              <w:top w:w="57" w:type="dxa"/>
              <w:left w:w="57" w:type="dxa"/>
              <w:bottom w:w="57" w:type="dxa"/>
              <w:right w:w="85" w:type="dxa"/>
            </w:tcMar>
          </w:tcPr>
          <w:p w14:paraId="572F1613" w14:textId="77777777" w:rsidR="00693643" w:rsidRPr="00BC320C" w:rsidDel="009A7B02" w:rsidRDefault="00693643" w:rsidP="00693643">
            <w:pPr>
              <w:rPr>
                <w:b/>
                <w:bCs/>
                <w:lang w:val="en-AU"/>
              </w:rPr>
            </w:pPr>
          </w:p>
        </w:tc>
        <w:tc>
          <w:tcPr>
            <w:tcW w:w="8789" w:type="dxa"/>
            <w:shd w:val="clear" w:color="auto" w:fill="C5DFCC"/>
            <w:tcMar>
              <w:top w:w="57" w:type="dxa"/>
              <w:left w:w="57" w:type="dxa"/>
              <w:bottom w:w="57" w:type="dxa"/>
              <w:right w:w="85" w:type="dxa"/>
            </w:tcMar>
            <w:vAlign w:val="center"/>
          </w:tcPr>
          <w:p w14:paraId="446ECCC4" w14:textId="47CD7D24" w:rsidR="00693643" w:rsidRPr="00DE1AA2" w:rsidDel="009A7B02" w:rsidRDefault="00693643" w:rsidP="00F92330">
            <w:pPr>
              <w:jc w:val="center"/>
            </w:pPr>
            <w:r w:rsidRPr="000121F4">
              <w:rPr>
                <w:b/>
                <w:bCs/>
                <w:sz w:val="24"/>
                <w:szCs w:val="24"/>
              </w:rPr>
              <w:t>VISIBLE COMMITMENT</w:t>
            </w:r>
          </w:p>
        </w:tc>
        <w:tc>
          <w:tcPr>
            <w:tcW w:w="1275" w:type="dxa"/>
            <w:vAlign w:val="center"/>
          </w:tcPr>
          <w:p w14:paraId="69B24A53" w14:textId="5C79D735" w:rsidR="00693643" w:rsidDel="009A7B02" w:rsidRDefault="0074203C" w:rsidP="00F92330">
            <w:pPr>
              <w:spacing w:after="0"/>
              <w:jc w:val="center"/>
              <w:rPr>
                <w:lang w:val="en-AU"/>
              </w:rPr>
            </w:pPr>
            <w:r>
              <w:rPr>
                <w:b/>
                <w:bCs/>
                <w:i/>
                <w:iCs/>
                <w:lang w:val="en-AU"/>
              </w:rPr>
              <w:t>Indicative t</w:t>
            </w:r>
            <w:r w:rsidR="00693643">
              <w:rPr>
                <w:b/>
                <w:bCs/>
                <w:i/>
                <w:iCs/>
                <w:lang w:val="en-AU"/>
              </w:rPr>
              <w:t>imeline to commence</w:t>
            </w:r>
          </w:p>
        </w:tc>
        <w:tc>
          <w:tcPr>
            <w:tcW w:w="2694" w:type="dxa"/>
            <w:shd w:val="clear" w:color="auto" w:fill="F2F2F2" w:themeFill="background1" w:themeFillShade="F2"/>
            <w:vAlign w:val="center"/>
          </w:tcPr>
          <w:p w14:paraId="77DA4B29" w14:textId="1006C7D6" w:rsidR="00693643" w:rsidDel="009A7B02" w:rsidRDefault="00693643" w:rsidP="00F92330">
            <w:pPr>
              <w:jc w:val="center"/>
              <w:rPr>
                <w:lang w:val="en-AU"/>
              </w:rPr>
            </w:pPr>
            <w:r>
              <w:rPr>
                <w:b/>
                <w:bCs/>
                <w:i/>
                <w:iCs/>
                <w:lang w:val="en-AU"/>
              </w:rPr>
              <w:t>Accountable</w:t>
            </w:r>
            <w:r w:rsidRPr="004B37A3">
              <w:rPr>
                <w:b/>
                <w:bCs/>
                <w:i/>
                <w:iCs/>
                <w:lang w:val="en-AU"/>
              </w:rPr>
              <w:t xml:space="preserve"> for implementation</w:t>
            </w:r>
          </w:p>
        </w:tc>
      </w:tr>
      <w:tr w:rsidR="00693643" w:rsidRPr="00BC320C" w14:paraId="4886C577" w14:textId="77777777" w:rsidTr="00367169">
        <w:trPr>
          <w:trHeight w:val="80"/>
        </w:trPr>
        <w:tc>
          <w:tcPr>
            <w:tcW w:w="1985" w:type="dxa"/>
            <w:shd w:val="clear" w:color="auto" w:fill="E2EFE5"/>
            <w:tcMar>
              <w:top w:w="57" w:type="dxa"/>
              <w:left w:w="57" w:type="dxa"/>
              <w:bottom w:w="57" w:type="dxa"/>
              <w:right w:w="85" w:type="dxa"/>
            </w:tcMar>
          </w:tcPr>
          <w:p w14:paraId="498DF3B8" w14:textId="01693B9E" w:rsidR="00693643" w:rsidRPr="00BC320C" w:rsidRDefault="00693643" w:rsidP="00693643">
            <w:pPr>
              <w:rPr>
                <w:b/>
                <w:bCs/>
                <w:lang w:val="en-AU"/>
              </w:rPr>
            </w:pPr>
            <w:r>
              <w:rPr>
                <w:b/>
                <w:bCs/>
                <w:lang w:val="en-AU"/>
              </w:rPr>
              <w:t>1.</w:t>
            </w:r>
            <w:r w:rsidR="00B56F38">
              <w:rPr>
                <w:b/>
                <w:bCs/>
                <w:lang w:val="en-AU"/>
              </w:rPr>
              <w:t>6</w:t>
            </w:r>
            <w:r>
              <w:rPr>
                <w:b/>
                <w:bCs/>
                <w:lang w:val="en-AU"/>
              </w:rPr>
              <w:t xml:space="preserve"> – Visibility and communications</w:t>
            </w:r>
          </w:p>
        </w:tc>
        <w:tc>
          <w:tcPr>
            <w:tcW w:w="8789" w:type="dxa"/>
            <w:shd w:val="clear" w:color="auto" w:fill="auto"/>
            <w:tcMar>
              <w:top w:w="57" w:type="dxa"/>
              <w:left w:w="57" w:type="dxa"/>
              <w:bottom w:w="57" w:type="dxa"/>
              <w:right w:w="85" w:type="dxa"/>
            </w:tcMar>
          </w:tcPr>
          <w:p w14:paraId="65CBC537" w14:textId="65C384E9" w:rsidR="00693643" w:rsidRPr="00A9116D" w:rsidRDefault="00693643" w:rsidP="00693643">
            <w:r w:rsidRPr="00A9116D">
              <w:t>Celebrate and promote the pride and strength of people with disability by acknowledging days of significance, research and innovation, and individual achievements of students</w:t>
            </w:r>
            <w:r w:rsidR="00E774F3">
              <w:t>, staff</w:t>
            </w:r>
            <w:r w:rsidRPr="00A9116D">
              <w:t xml:space="preserve"> and alumni.</w:t>
            </w:r>
          </w:p>
        </w:tc>
        <w:tc>
          <w:tcPr>
            <w:tcW w:w="1275" w:type="dxa"/>
          </w:tcPr>
          <w:p w14:paraId="5559B3FC" w14:textId="44683F21" w:rsidR="00693643" w:rsidRDefault="00693643" w:rsidP="00693643">
            <w:pPr>
              <w:jc w:val="center"/>
              <w:rPr>
                <w:lang w:val="en-AU"/>
              </w:rPr>
            </w:pPr>
            <w:r>
              <w:rPr>
                <w:lang w:val="en-AU"/>
              </w:rPr>
              <w:t>2023</w:t>
            </w:r>
          </w:p>
        </w:tc>
        <w:tc>
          <w:tcPr>
            <w:tcW w:w="2694" w:type="dxa"/>
            <w:shd w:val="clear" w:color="auto" w:fill="F2F2F2" w:themeFill="background1" w:themeFillShade="F2"/>
          </w:tcPr>
          <w:p w14:paraId="43B7E1A2" w14:textId="33098EE7" w:rsidR="00693643" w:rsidRDefault="00693643" w:rsidP="00693643">
            <w:pPr>
              <w:jc w:val="center"/>
            </w:pPr>
            <w:r w:rsidRPr="00364ED5">
              <w:t>Director D</w:t>
            </w:r>
            <w:r>
              <w:t xml:space="preserve">iversity </w:t>
            </w:r>
            <w:r w:rsidRPr="00364ED5">
              <w:t>&amp;</w:t>
            </w:r>
            <w:r>
              <w:t xml:space="preserve"> </w:t>
            </w:r>
            <w:r w:rsidRPr="00364ED5">
              <w:t>I</w:t>
            </w:r>
            <w:r>
              <w:t>nclusion</w:t>
            </w:r>
            <w:r w:rsidRPr="00364ED5">
              <w:t xml:space="preserve"> </w:t>
            </w:r>
          </w:p>
          <w:p w14:paraId="4083421D" w14:textId="0FED774A" w:rsidR="00693643" w:rsidRDefault="00693643" w:rsidP="00693643">
            <w:pPr>
              <w:jc w:val="center"/>
            </w:pPr>
            <w:r w:rsidRPr="00364ED5">
              <w:t>D</w:t>
            </w:r>
            <w:r>
              <w:t>irector</w:t>
            </w:r>
            <w:r w:rsidRPr="00364ED5">
              <w:t xml:space="preserve"> </w:t>
            </w:r>
            <w:r w:rsidR="00457227">
              <w:t>Strategic</w:t>
            </w:r>
            <w:r w:rsidRPr="00364ED5">
              <w:t xml:space="preserve"> Communications </w:t>
            </w:r>
          </w:p>
          <w:p w14:paraId="47A0F24D" w14:textId="77777777" w:rsidR="00590E5F" w:rsidRDefault="00590E5F" w:rsidP="00693643">
            <w:pPr>
              <w:jc w:val="center"/>
              <w:rPr>
                <w:lang w:val="en-AU"/>
              </w:rPr>
            </w:pPr>
          </w:p>
          <w:p w14:paraId="6D5A9EB0" w14:textId="068C18D2" w:rsidR="00590E5F" w:rsidRPr="00364ED5" w:rsidRDefault="00590E5F" w:rsidP="00693643">
            <w:pPr>
              <w:jc w:val="center"/>
              <w:rPr>
                <w:lang w:val="en-AU"/>
              </w:rPr>
            </w:pPr>
          </w:p>
        </w:tc>
      </w:tr>
      <w:tr w:rsidR="00693643" w:rsidRPr="00BC320C" w14:paraId="3126677A" w14:textId="77777777" w:rsidTr="00367169">
        <w:trPr>
          <w:trHeight w:val="80"/>
        </w:trPr>
        <w:tc>
          <w:tcPr>
            <w:tcW w:w="1985" w:type="dxa"/>
            <w:shd w:val="clear" w:color="auto" w:fill="E2EFE5"/>
            <w:tcMar>
              <w:top w:w="57" w:type="dxa"/>
              <w:left w:w="57" w:type="dxa"/>
              <w:bottom w:w="57" w:type="dxa"/>
              <w:right w:w="85" w:type="dxa"/>
            </w:tcMar>
            <w:hideMark/>
          </w:tcPr>
          <w:p w14:paraId="50840B31" w14:textId="09739F20" w:rsidR="00693643" w:rsidRPr="00BC320C" w:rsidRDefault="00693643" w:rsidP="00693643">
            <w:r w:rsidRPr="00BC320C">
              <w:rPr>
                <w:b/>
                <w:bCs/>
                <w:lang w:val="en-AU"/>
              </w:rPr>
              <w:lastRenderedPageBreak/>
              <w:t>1.</w:t>
            </w:r>
            <w:r w:rsidR="00B56F38">
              <w:rPr>
                <w:b/>
                <w:bCs/>
                <w:lang w:val="en-AU"/>
              </w:rPr>
              <w:t>7</w:t>
            </w:r>
            <w:r>
              <w:rPr>
                <w:b/>
                <w:bCs/>
                <w:lang w:val="en-AU"/>
              </w:rPr>
              <w:t xml:space="preserve"> – Lived Experience Advisory Groups (LEAGs)</w:t>
            </w:r>
          </w:p>
        </w:tc>
        <w:tc>
          <w:tcPr>
            <w:tcW w:w="8789" w:type="dxa"/>
            <w:shd w:val="clear" w:color="auto" w:fill="auto"/>
            <w:tcMar>
              <w:top w:w="57" w:type="dxa"/>
              <w:left w:w="57" w:type="dxa"/>
              <w:bottom w:w="57" w:type="dxa"/>
              <w:right w:w="85" w:type="dxa"/>
            </w:tcMar>
            <w:hideMark/>
          </w:tcPr>
          <w:p w14:paraId="74AE44F1" w14:textId="661B2D6F" w:rsidR="00693643" w:rsidRPr="005A1180" w:rsidRDefault="00693643" w:rsidP="00693643">
            <w:r w:rsidRPr="005A1180">
              <w:t>Formalise st</w:t>
            </w:r>
            <w:r w:rsidR="0035799E">
              <w:t>udent and st</w:t>
            </w:r>
            <w:r w:rsidRPr="005A1180">
              <w:t>aff Lived Experience Advisory Groups (LEAGs) to provide an ongoing mechanism for consultation and engagement on the implementation of the DIAP.</w:t>
            </w:r>
          </w:p>
        </w:tc>
        <w:tc>
          <w:tcPr>
            <w:tcW w:w="1275" w:type="dxa"/>
          </w:tcPr>
          <w:p w14:paraId="5C97D234" w14:textId="62161EA7" w:rsidR="00693643" w:rsidRDefault="00693643" w:rsidP="00693643">
            <w:pPr>
              <w:jc w:val="center"/>
              <w:rPr>
                <w:lang w:val="en-AU"/>
              </w:rPr>
            </w:pPr>
            <w:r>
              <w:rPr>
                <w:lang w:val="en-AU"/>
              </w:rPr>
              <w:t>2023</w:t>
            </w:r>
          </w:p>
        </w:tc>
        <w:tc>
          <w:tcPr>
            <w:tcW w:w="2694" w:type="dxa"/>
            <w:shd w:val="clear" w:color="auto" w:fill="F2F2F2" w:themeFill="background1" w:themeFillShade="F2"/>
          </w:tcPr>
          <w:p w14:paraId="788C159F" w14:textId="130B17F2" w:rsidR="00693643" w:rsidRPr="00BC320C" w:rsidRDefault="00693643" w:rsidP="00693643">
            <w:pPr>
              <w:jc w:val="center"/>
              <w:rPr>
                <w:lang w:val="en-AU"/>
              </w:rPr>
            </w:pPr>
            <w:r>
              <w:rPr>
                <w:lang w:val="en-AU"/>
              </w:rPr>
              <w:t>Director Diversity &amp; Inclusion</w:t>
            </w:r>
          </w:p>
        </w:tc>
      </w:tr>
      <w:tr w:rsidR="00693643" w:rsidRPr="00BC320C" w14:paraId="6CADD2C9" w14:textId="77777777" w:rsidTr="00367169">
        <w:trPr>
          <w:trHeight w:val="80"/>
        </w:trPr>
        <w:tc>
          <w:tcPr>
            <w:tcW w:w="1985" w:type="dxa"/>
            <w:shd w:val="clear" w:color="auto" w:fill="E2EFE5"/>
            <w:tcMar>
              <w:top w:w="57" w:type="dxa"/>
              <w:left w:w="57" w:type="dxa"/>
              <w:bottom w:w="57" w:type="dxa"/>
              <w:right w:w="85" w:type="dxa"/>
            </w:tcMar>
          </w:tcPr>
          <w:p w14:paraId="2A54DC91" w14:textId="012293CA" w:rsidR="00693643" w:rsidRPr="00BC320C" w:rsidRDefault="00693643" w:rsidP="00693643">
            <w:pPr>
              <w:rPr>
                <w:b/>
                <w:bCs/>
                <w:lang w:val="en-AU"/>
              </w:rPr>
            </w:pPr>
            <w:r>
              <w:rPr>
                <w:b/>
                <w:bCs/>
                <w:lang w:val="en-AU"/>
              </w:rPr>
              <w:t>1.</w:t>
            </w:r>
            <w:r w:rsidR="00B56F38">
              <w:rPr>
                <w:b/>
                <w:bCs/>
                <w:lang w:val="en-AU"/>
              </w:rPr>
              <w:t>8</w:t>
            </w:r>
            <w:r>
              <w:rPr>
                <w:b/>
                <w:bCs/>
                <w:lang w:val="en-AU"/>
              </w:rPr>
              <w:t xml:space="preserve"> – Awards and grant funding</w:t>
            </w:r>
          </w:p>
        </w:tc>
        <w:tc>
          <w:tcPr>
            <w:tcW w:w="8789" w:type="dxa"/>
            <w:shd w:val="clear" w:color="auto" w:fill="auto"/>
            <w:tcMar>
              <w:top w:w="57" w:type="dxa"/>
              <w:left w:w="57" w:type="dxa"/>
              <w:bottom w:w="57" w:type="dxa"/>
              <w:right w:w="85" w:type="dxa"/>
            </w:tcMar>
          </w:tcPr>
          <w:p w14:paraId="149E707C" w14:textId="3B0172FE" w:rsidR="00693643" w:rsidRPr="00C13481" w:rsidRDefault="00693643" w:rsidP="00693643">
            <w:r w:rsidRPr="00C13481">
              <w:t>Identify opportunities to leverage existing awards or grant funds to support work that progresses inclusion and accessibility for University students, staff a</w:t>
            </w:r>
            <w:r>
              <w:t>nd</w:t>
            </w:r>
            <w:r w:rsidRPr="00C13481">
              <w:t xml:space="preserve"> visitors with disabilit</w:t>
            </w:r>
            <w:r w:rsidR="00B466DE">
              <w:t>y</w:t>
            </w:r>
            <w:r w:rsidRPr="00C13481">
              <w:t>.</w:t>
            </w:r>
          </w:p>
        </w:tc>
        <w:tc>
          <w:tcPr>
            <w:tcW w:w="1275" w:type="dxa"/>
          </w:tcPr>
          <w:p w14:paraId="1D4DF54E" w14:textId="2EBEE263" w:rsidR="00693643" w:rsidRDefault="00693643" w:rsidP="00693643">
            <w:pPr>
              <w:jc w:val="center"/>
              <w:rPr>
                <w:lang w:val="en-AU"/>
              </w:rPr>
            </w:pPr>
            <w:r>
              <w:rPr>
                <w:lang w:val="en-AU"/>
              </w:rPr>
              <w:t>2025</w:t>
            </w:r>
          </w:p>
        </w:tc>
        <w:tc>
          <w:tcPr>
            <w:tcW w:w="2694" w:type="dxa"/>
            <w:shd w:val="clear" w:color="auto" w:fill="F2F2F2" w:themeFill="background1" w:themeFillShade="F2"/>
          </w:tcPr>
          <w:p w14:paraId="52C863E9" w14:textId="67BD343C" w:rsidR="00693643" w:rsidRDefault="00693643" w:rsidP="00693643">
            <w:pPr>
              <w:jc w:val="center"/>
              <w:rPr>
                <w:lang w:val="en-AU"/>
              </w:rPr>
            </w:pPr>
            <w:r>
              <w:rPr>
                <w:lang w:val="en-AU"/>
              </w:rPr>
              <w:t>D</w:t>
            </w:r>
            <w:r>
              <w:t>eputy Vice</w:t>
            </w:r>
            <w:r w:rsidR="002E0333">
              <w:t>-</w:t>
            </w:r>
            <w:r>
              <w:t xml:space="preserve">Chancellor </w:t>
            </w:r>
            <w:r w:rsidR="00534212">
              <w:t>(</w:t>
            </w:r>
            <w:r>
              <w:t>People &amp; Community</w:t>
            </w:r>
            <w:r w:rsidR="00534212">
              <w:t>)</w:t>
            </w:r>
          </w:p>
        </w:tc>
      </w:tr>
    </w:tbl>
    <w:p w14:paraId="5C2723F6" w14:textId="42ED90CF" w:rsidR="006639C8" w:rsidRDefault="006639C8" w:rsidP="00990273"/>
    <w:p w14:paraId="2ED91A6F" w14:textId="77777777" w:rsidR="006639C8" w:rsidRDefault="006639C8">
      <w:r>
        <w:br w:type="page"/>
      </w:r>
    </w:p>
    <w:p w14:paraId="55222CFA" w14:textId="6B05D983" w:rsidR="00DA7B5D" w:rsidRPr="00D21D88" w:rsidRDefault="00FF156E" w:rsidP="00D21D88">
      <w:pPr>
        <w:pStyle w:val="Heading1"/>
        <w:spacing w:after="240"/>
        <w:rPr>
          <w:rFonts w:ascii="Georgia" w:hAnsi="Georgia"/>
          <w:b/>
          <w:bCs/>
          <w:sz w:val="28"/>
          <w:szCs w:val="28"/>
        </w:rPr>
      </w:pPr>
      <w:r>
        <w:rPr>
          <w:rFonts w:ascii="Georgia" w:hAnsi="Georgia"/>
          <w:b/>
          <w:bCs/>
          <w:sz w:val="28"/>
          <w:szCs w:val="28"/>
        </w:rPr>
        <w:lastRenderedPageBreak/>
        <w:t xml:space="preserve">Focus Area 2: </w:t>
      </w:r>
      <w:r w:rsidR="00CC4DF8">
        <w:rPr>
          <w:rFonts w:ascii="Georgia" w:hAnsi="Georgia"/>
          <w:b/>
          <w:bCs/>
          <w:sz w:val="28"/>
          <w:szCs w:val="28"/>
        </w:rPr>
        <w:t>Digital and Physical Accessibility and Inclusion</w:t>
      </w:r>
      <w:r>
        <w:rPr>
          <w:rFonts w:ascii="Georgia" w:hAnsi="Georgia"/>
          <w:b/>
          <w:bCs/>
          <w:sz w:val="28"/>
          <w:szCs w:val="28"/>
        </w:rPr>
        <w:t xml:space="preserve"> </w:t>
      </w:r>
    </w:p>
    <w:p w14:paraId="016F3504" w14:textId="32C2F3E9" w:rsidR="003D4B6E" w:rsidRPr="001F637F" w:rsidRDefault="006130DE" w:rsidP="002E5E8C">
      <w:pPr>
        <w:spacing w:line="240" w:lineRule="auto"/>
        <w:jc w:val="center"/>
        <w:rPr>
          <w:i/>
          <w:iCs/>
          <w:sz w:val="28"/>
          <w:szCs w:val="28"/>
        </w:rPr>
      </w:pPr>
      <w:r w:rsidRPr="006130DE">
        <w:rPr>
          <w:b/>
          <w:bCs/>
          <w:i/>
          <w:iCs/>
          <w:color w:val="000000" w:themeColor="text1"/>
          <w:sz w:val="24"/>
          <w:szCs w:val="24"/>
          <w:lang w:val="en-AU"/>
        </w:rPr>
        <w:t xml:space="preserve">Goal: </w:t>
      </w:r>
      <w:r w:rsidRPr="002E5E8C">
        <w:rPr>
          <w:i/>
          <w:iCs/>
          <w:color w:val="000000" w:themeColor="text1"/>
          <w:sz w:val="24"/>
          <w:szCs w:val="24"/>
          <w:lang w:val="en-AU"/>
        </w:rPr>
        <w:t>The University</w:t>
      </w:r>
      <w:r w:rsidR="00195527">
        <w:rPr>
          <w:i/>
          <w:iCs/>
          <w:color w:val="000000" w:themeColor="text1"/>
          <w:sz w:val="24"/>
          <w:szCs w:val="24"/>
          <w:lang w:val="en-AU"/>
        </w:rPr>
        <w:t xml:space="preserve"> creates a place of belonging </w:t>
      </w:r>
      <w:r w:rsidR="00AF2098">
        <w:rPr>
          <w:i/>
          <w:iCs/>
          <w:color w:val="000000" w:themeColor="text1"/>
          <w:sz w:val="24"/>
          <w:szCs w:val="24"/>
          <w:lang w:val="en-AU"/>
        </w:rPr>
        <w:t xml:space="preserve">for </w:t>
      </w:r>
      <w:r w:rsidR="00DA6214">
        <w:rPr>
          <w:i/>
          <w:iCs/>
          <w:color w:val="000000" w:themeColor="text1"/>
          <w:sz w:val="24"/>
          <w:szCs w:val="24"/>
          <w:lang w:val="en-AU"/>
        </w:rPr>
        <w:t>students, staff and visitors with</w:t>
      </w:r>
      <w:r w:rsidR="00AF2098">
        <w:rPr>
          <w:i/>
          <w:iCs/>
          <w:color w:val="000000" w:themeColor="text1"/>
          <w:sz w:val="24"/>
          <w:szCs w:val="24"/>
          <w:lang w:val="en-AU"/>
        </w:rPr>
        <w:t xml:space="preserve"> disabilit</w:t>
      </w:r>
      <w:r w:rsidR="00B466DE">
        <w:rPr>
          <w:i/>
          <w:iCs/>
          <w:color w:val="000000" w:themeColor="text1"/>
          <w:sz w:val="24"/>
          <w:szCs w:val="24"/>
          <w:lang w:val="en-AU"/>
        </w:rPr>
        <w:t>y</w:t>
      </w:r>
      <w:r w:rsidR="00DA6214">
        <w:rPr>
          <w:i/>
          <w:iCs/>
          <w:color w:val="000000" w:themeColor="text1"/>
          <w:sz w:val="24"/>
          <w:szCs w:val="24"/>
          <w:lang w:val="en-AU"/>
        </w:rPr>
        <w:t xml:space="preserve"> </w:t>
      </w:r>
      <w:r w:rsidR="00195527">
        <w:rPr>
          <w:i/>
          <w:iCs/>
          <w:color w:val="000000" w:themeColor="text1"/>
          <w:sz w:val="24"/>
          <w:szCs w:val="24"/>
          <w:lang w:val="en-AU"/>
        </w:rPr>
        <w:t xml:space="preserve">by </w:t>
      </w:r>
      <w:r w:rsidR="00234B21">
        <w:rPr>
          <w:i/>
          <w:iCs/>
          <w:color w:val="000000" w:themeColor="text1"/>
          <w:sz w:val="24"/>
          <w:szCs w:val="24"/>
          <w:lang w:val="en-AU"/>
        </w:rPr>
        <w:t>uplifting the</w:t>
      </w:r>
      <w:r w:rsidRPr="002E5E8C">
        <w:rPr>
          <w:i/>
          <w:iCs/>
          <w:color w:val="000000" w:themeColor="text1"/>
          <w:sz w:val="24"/>
          <w:szCs w:val="24"/>
          <w:lang w:val="en-AU"/>
        </w:rPr>
        <w:t xml:space="preserve"> </w:t>
      </w:r>
      <w:r w:rsidR="003C3D08">
        <w:rPr>
          <w:i/>
          <w:iCs/>
          <w:color w:val="000000" w:themeColor="text1"/>
          <w:sz w:val="24"/>
          <w:szCs w:val="24"/>
          <w:lang w:val="en-AU"/>
        </w:rPr>
        <w:t xml:space="preserve">accessibility and inclusivity of </w:t>
      </w:r>
      <w:r w:rsidR="00DA6214">
        <w:rPr>
          <w:i/>
          <w:iCs/>
          <w:color w:val="000000" w:themeColor="text1"/>
          <w:sz w:val="24"/>
          <w:szCs w:val="24"/>
          <w:lang w:val="en-AU"/>
        </w:rPr>
        <w:t>its</w:t>
      </w:r>
      <w:r w:rsidR="003C3D08">
        <w:rPr>
          <w:i/>
          <w:iCs/>
          <w:color w:val="000000" w:themeColor="text1"/>
          <w:sz w:val="24"/>
          <w:szCs w:val="24"/>
          <w:lang w:val="en-AU"/>
        </w:rPr>
        <w:t xml:space="preserve"> </w:t>
      </w:r>
      <w:r w:rsidRPr="002E5E8C">
        <w:rPr>
          <w:i/>
          <w:iCs/>
          <w:color w:val="000000" w:themeColor="text1"/>
          <w:sz w:val="24"/>
          <w:szCs w:val="24"/>
          <w:lang w:val="en-AU"/>
        </w:rPr>
        <w:t>physical and digital environment.</w:t>
      </w:r>
    </w:p>
    <w:tbl>
      <w:tblPr>
        <w:tblW w:w="14745" w:type="dxa"/>
        <w:tblInd w:w="-709" w:type="dxa"/>
        <w:tblBorders>
          <w:top w:val="single" w:sz="2" w:space="0" w:color="808080" w:themeColor="background1" w:themeShade="80"/>
          <w:bottom w:val="single" w:sz="2" w:space="0" w:color="808080" w:themeColor="background1" w:themeShade="80"/>
          <w:insideH w:val="single" w:sz="2" w:space="0" w:color="808080" w:themeColor="background1" w:themeShade="80"/>
        </w:tblBorders>
        <w:tblCellMar>
          <w:left w:w="0" w:type="dxa"/>
          <w:right w:w="0" w:type="dxa"/>
        </w:tblCellMar>
        <w:tblLook w:val="04A0" w:firstRow="1" w:lastRow="0" w:firstColumn="1" w:lastColumn="0" w:noHBand="0" w:noVBand="1"/>
      </w:tblPr>
      <w:tblGrid>
        <w:gridCol w:w="2093"/>
        <w:gridCol w:w="8681"/>
        <w:gridCol w:w="1330"/>
        <w:gridCol w:w="2641"/>
      </w:tblGrid>
      <w:tr w:rsidR="009014AC" w:rsidRPr="00BC320C" w14:paraId="53846AC6" w14:textId="77777777" w:rsidTr="00367169">
        <w:trPr>
          <w:trHeight w:val="796"/>
        </w:trPr>
        <w:tc>
          <w:tcPr>
            <w:tcW w:w="2093" w:type="dxa"/>
            <w:shd w:val="clear" w:color="auto" w:fill="C5DFCC"/>
            <w:tcMar>
              <w:top w:w="57" w:type="dxa"/>
              <w:left w:w="57" w:type="dxa"/>
              <w:bottom w:w="57" w:type="dxa"/>
              <w:right w:w="85" w:type="dxa"/>
            </w:tcMar>
          </w:tcPr>
          <w:p w14:paraId="6BCC28C8" w14:textId="77777777" w:rsidR="009014AC" w:rsidRDefault="009014AC" w:rsidP="009014AC">
            <w:pPr>
              <w:rPr>
                <w:b/>
                <w:bCs/>
                <w:lang w:val="en-AU"/>
              </w:rPr>
            </w:pPr>
          </w:p>
        </w:tc>
        <w:tc>
          <w:tcPr>
            <w:tcW w:w="8681" w:type="dxa"/>
            <w:shd w:val="clear" w:color="auto" w:fill="C5DFCC"/>
            <w:tcMar>
              <w:top w:w="57" w:type="dxa"/>
              <w:left w:w="57" w:type="dxa"/>
              <w:bottom w:w="57" w:type="dxa"/>
              <w:right w:w="85" w:type="dxa"/>
            </w:tcMar>
            <w:vAlign w:val="center"/>
          </w:tcPr>
          <w:p w14:paraId="1245837C" w14:textId="4ABF83AD" w:rsidR="009014AC" w:rsidRPr="003277D3" w:rsidRDefault="009014AC" w:rsidP="00F92330">
            <w:pPr>
              <w:jc w:val="center"/>
            </w:pPr>
            <w:r>
              <w:rPr>
                <w:b/>
                <w:color w:val="000000" w:themeColor="text1"/>
                <w:sz w:val="24"/>
                <w:szCs w:val="24"/>
              </w:rPr>
              <w:t>DIGITAL ACCESSIBILITY</w:t>
            </w:r>
          </w:p>
        </w:tc>
        <w:tc>
          <w:tcPr>
            <w:tcW w:w="1330" w:type="dxa"/>
            <w:vAlign w:val="center"/>
          </w:tcPr>
          <w:p w14:paraId="0FD1E538" w14:textId="6FB69FFD" w:rsidR="009014AC" w:rsidRDefault="0074203C" w:rsidP="00F92330">
            <w:pPr>
              <w:spacing w:after="0"/>
              <w:jc w:val="center"/>
              <w:rPr>
                <w:lang w:val="en-AU"/>
              </w:rPr>
            </w:pPr>
            <w:r>
              <w:rPr>
                <w:b/>
                <w:bCs/>
                <w:i/>
                <w:iCs/>
                <w:lang w:val="en-AU"/>
              </w:rPr>
              <w:t>Indicative t</w:t>
            </w:r>
            <w:r w:rsidR="009014AC">
              <w:rPr>
                <w:b/>
                <w:bCs/>
                <w:i/>
                <w:iCs/>
                <w:lang w:val="en-AU"/>
              </w:rPr>
              <w:t>imeline to commence</w:t>
            </w:r>
          </w:p>
        </w:tc>
        <w:tc>
          <w:tcPr>
            <w:tcW w:w="2641" w:type="dxa"/>
            <w:shd w:val="clear" w:color="auto" w:fill="F2F2F2" w:themeFill="background1" w:themeFillShade="F2"/>
            <w:vAlign w:val="center"/>
          </w:tcPr>
          <w:p w14:paraId="02535F87" w14:textId="57348E7B" w:rsidR="009014AC" w:rsidRDefault="009014AC" w:rsidP="00F92330">
            <w:pPr>
              <w:jc w:val="center"/>
              <w:rPr>
                <w:rFonts w:ascii="Calibri" w:eastAsia="SimSun" w:hAnsi="Calibri" w:cs="Times New Roman"/>
                <w:szCs w:val="20"/>
              </w:rPr>
            </w:pPr>
            <w:r>
              <w:rPr>
                <w:b/>
                <w:bCs/>
                <w:i/>
                <w:iCs/>
                <w:lang w:val="en-AU"/>
              </w:rPr>
              <w:t>Accountable</w:t>
            </w:r>
            <w:r w:rsidRPr="004B37A3">
              <w:rPr>
                <w:b/>
                <w:bCs/>
                <w:i/>
                <w:iCs/>
                <w:lang w:val="en-AU"/>
              </w:rPr>
              <w:t xml:space="preserve"> for implementation</w:t>
            </w:r>
          </w:p>
        </w:tc>
      </w:tr>
      <w:tr w:rsidR="009014AC" w:rsidRPr="00BC320C" w14:paraId="7608FA80" w14:textId="77777777" w:rsidTr="00367169">
        <w:trPr>
          <w:trHeight w:val="796"/>
        </w:trPr>
        <w:tc>
          <w:tcPr>
            <w:tcW w:w="2093" w:type="dxa"/>
            <w:shd w:val="clear" w:color="auto" w:fill="E2EFE5"/>
            <w:tcMar>
              <w:top w:w="57" w:type="dxa"/>
              <w:left w:w="57" w:type="dxa"/>
              <w:bottom w:w="57" w:type="dxa"/>
              <w:right w:w="85" w:type="dxa"/>
            </w:tcMar>
            <w:hideMark/>
          </w:tcPr>
          <w:p w14:paraId="765C5ED8" w14:textId="1215DA09" w:rsidR="009014AC" w:rsidRPr="00BC320C" w:rsidRDefault="009014AC" w:rsidP="009014AC">
            <w:r>
              <w:rPr>
                <w:b/>
                <w:bCs/>
                <w:lang w:val="en-AU"/>
              </w:rPr>
              <w:t>2.1 – Accessib</w:t>
            </w:r>
            <w:r w:rsidR="00845B6C">
              <w:rPr>
                <w:b/>
                <w:bCs/>
                <w:lang w:val="en-AU"/>
              </w:rPr>
              <w:t xml:space="preserve">ility for </w:t>
            </w:r>
            <w:r>
              <w:rPr>
                <w:b/>
                <w:bCs/>
                <w:lang w:val="en-AU"/>
              </w:rPr>
              <w:t>digital procurement</w:t>
            </w:r>
          </w:p>
        </w:tc>
        <w:tc>
          <w:tcPr>
            <w:tcW w:w="8681" w:type="dxa"/>
            <w:shd w:val="clear" w:color="auto" w:fill="auto"/>
            <w:tcMar>
              <w:top w:w="57" w:type="dxa"/>
              <w:left w:w="57" w:type="dxa"/>
              <w:bottom w:w="57" w:type="dxa"/>
              <w:right w:w="85" w:type="dxa"/>
            </w:tcMar>
            <w:hideMark/>
          </w:tcPr>
          <w:p w14:paraId="50AF72B0" w14:textId="05802999" w:rsidR="009014AC" w:rsidRPr="003277D3" w:rsidRDefault="009014AC" w:rsidP="009014AC">
            <w:r w:rsidRPr="003277D3">
              <w:t>Uplift accessibility standards for procurement of software, digital resources and platforms.</w:t>
            </w:r>
          </w:p>
        </w:tc>
        <w:tc>
          <w:tcPr>
            <w:tcW w:w="1330" w:type="dxa"/>
          </w:tcPr>
          <w:p w14:paraId="75CFAB44" w14:textId="17CB5531" w:rsidR="009014AC" w:rsidRPr="00FB7BF0" w:rsidRDefault="009014AC" w:rsidP="009014AC">
            <w:pPr>
              <w:jc w:val="center"/>
              <w:rPr>
                <w:lang w:val="en-AU"/>
              </w:rPr>
            </w:pPr>
            <w:r>
              <w:rPr>
                <w:lang w:val="en-AU"/>
              </w:rPr>
              <w:t>2023</w:t>
            </w:r>
          </w:p>
        </w:tc>
        <w:tc>
          <w:tcPr>
            <w:tcW w:w="2641" w:type="dxa"/>
            <w:shd w:val="clear" w:color="auto" w:fill="F2F2F2" w:themeFill="background1" w:themeFillShade="F2"/>
          </w:tcPr>
          <w:p w14:paraId="49C06C56" w14:textId="7DF5D14E" w:rsidR="009014AC" w:rsidRPr="006711EB" w:rsidRDefault="009014AC" w:rsidP="009014AC">
            <w:pPr>
              <w:jc w:val="center"/>
              <w:rPr>
                <w:rFonts w:ascii="Calibri" w:eastAsia="SimSun" w:hAnsi="Calibri" w:cs="Times New Roman"/>
                <w:szCs w:val="20"/>
              </w:rPr>
            </w:pPr>
            <w:r>
              <w:rPr>
                <w:rFonts w:ascii="Calibri" w:eastAsia="SimSun" w:hAnsi="Calibri" w:cs="Times New Roman"/>
                <w:szCs w:val="20"/>
              </w:rPr>
              <w:t>Executive Director Business Services</w:t>
            </w:r>
          </w:p>
        </w:tc>
      </w:tr>
      <w:tr w:rsidR="009014AC" w:rsidRPr="00BC320C" w14:paraId="3EBF40DF" w14:textId="77777777" w:rsidTr="00367169">
        <w:trPr>
          <w:trHeight w:val="715"/>
        </w:trPr>
        <w:tc>
          <w:tcPr>
            <w:tcW w:w="2093" w:type="dxa"/>
            <w:shd w:val="clear" w:color="auto" w:fill="E2EFE5"/>
            <w:tcMar>
              <w:top w:w="57" w:type="dxa"/>
              <w:left w:w="57" w:type="dxa"/>
              <w:bottom w:w="57" w:type="dxa"/>
              <w:right w:w="85" w:type="dxa"/>
            </w:tcMar>
            <w:hideMark/>
          </w:tcPr>
          <w:p w14:paraId="517F09D8" w14:textId="6B5A4350" w:rsidR="009014AC" w:rsidRPr="00BC320C" w:rsidRDefault="009014AC" w:rsidP="009014AC">
            <w:r>
              <w:rPr>
                <w:b/>
                <w:bCs/>
                <w:lang w:val="en-AU"/>
              </w:rPr>
              <w:t>2.2 – WCAG 2.1 AA audit</w:t>
            </w:r>
          </w:p>
        </w:tc>
        <w:tc>
          <w:tcPr>
            <w:tcW w:w="8681" w:type="dxa"/>
            <w:shd w:val="clear" w:color="auto" w:fill="auto"/>
            <w:tcMar>
              <w:top w:w="57" w:type="dxa"/>
              <w:left w:w="57" w:type="dxa"/>
              <w:bottom w:w="57" w:type="dxa"/>
              <w:right w:w="85" w:type="dxa"/>
            </w:tcMar>
            <w:hideMark/>
          </w:tcPr>
          <w:p w14:paraId="11A97B5D" w14:textId="7F8A6487" w:rsidR="009014AC" w:rsidRPr="005D5EB6" w:rsidRDefault="009014AC" w:rsidP="009014AC">
            <w:r w:rsidRPr="005D5EB6">
              <w:rPr>
                <w:lang w:val="en-AU"/>
              </w:rPr>
              <w:t xml:space="preserve">Audit digital and online resources against </w:t>
            </w:r>
            <w:r w:rsidR="00372A92">
              <w:rPr>
                <w:lang w:val="en-AU"/>
              </w:rPr>
              <w:t>Web Content Accessibility Guidelines (</w:t>
            </w:r>
            <w:r w:rsidRPr="005D5EB6">
              <w:rPr>
                <w:lang w:val="en-AU"/>
              </w:rPr>
              <w:t>WCAG</w:t>
            </w:r>
            <w:r w:rsidR="00372A92">
              <w:rPr>
                <w:lang w:val="en-AU"/>
              </w:rPr>
              <w:t>)</w:t>
            </w:r>
            <w:r w:rsidRPr="005D5EB6">
              <w:rPr>
                <w:lang w:val="en-AU"/>
              </w:rPr>
              <w:t xml:space="preserve"> 2.1 AA and establish a plan for prioritising and addressing non-compliance.</w:t>
            </w:r>
          </w:p>
        </w:tc>
        <w:tc>
          <w:tcPr>
            <w:tcW w:w="1330" w:type="dxa"/>
          </w:tcPr>
          <w:p w14:paraId="2DEE54BC" w14:textId="37E459A6" w:rsidR="009014AC" w:rsidRDefault="009014AC" w:rsidP="009014AC">
            <w:pPr>
              <w:jc w:val="center"/>
              <w:rPr>
                <w:lang w:val="en-AU"/>
              </w:rPr>
            </w:pPr>
            <w:r>
              <w:rPr>
                <w:lang w:val="en-AU"/>
              </w:rPr>
              <w:t>2023</w:t>
            </w:r>
          </w:p>
        </w:tc>
        <w:tc>
          <w:tcPr>
            <w:tcW w:w="2641" w:type="dxa"/>
            <w:shd w:val="clear" w:color="auto" w:fill="F2F2F2" w:themeFill="background1" w:themeFillShade="F2"/>
          </w:tcPr>
          <w:p w14:paraId="2B3581BF" w14:textId="5269EE32" w:rsidR="009014AC" w:rsidRPr="00BC320C" w:rsidRDefault="009014AC" w:rsidP="009014AC">
            <w:pPr>
              <w:jc w:val="center"/>
              <w:rPr>
                <w:lang w:val="en-AU"/>
              </w:rPr>
            </w:pPr>
            <w:r>
              <w:rPr>
                <w:rFonts w:ascii="Calibri" w:eastAsia="SimSun" w:hAnsi="Calibri" w:cs="Times New Roman"/>
                <w:szCs w:val="20"/>
              </w:rPr>
              <w:t>Executive Director Business Services</w:t>
            </w:r>
          </w:p>
        </w:tc>
      </w:tr>
      <w:tr w:rsidR="009014AC" w14:paraId="3364E45E" w14:textId="77777777" w:rsidTr="00367169">
        <w:trPr>
          <w:trHeight w:val="715"/>
        </w:trPr>
        <w:tc>
          <w:tcPr>
            <w:tcW w:w="2093" w:type="dxa"/>
            <w:shd w:val="clear" w:color="auto" w:fill="E2EFE5"/>
            <w:tcMar>
              <w:top w:w="57" w:type="dxa"/>
              <w:left w:w="57" w:type="dxa"/>
              <w:bottom w:w="57" w:type="dxa"/>
              <w:right w:w="85" w:type="dxa"/>
            </w:tcMar>
          </w:tcPr>
          <w:p w14:paraId="4A28859A" w14:textId="065E9545" w:rsidR="009014AC" w:rsidRPr="00BC320C" w:rsidRDefault="009014AC" w:rsidP="009014AC">
            <w:pPr>
              <w:rPr>
                <w:b/>
                <w:bCs/>
                <w:lang w:val="en-AU"/>
              </w:rPr>
            </w:pPr>
            <w:r>
              <w:rPr>
                <w:b/>
                <w:bCs/>
                <w:lang w:val="en-AU"/>
              </w:rPr>
              <w:t>2</w:t>
            </w:r>
            <w:r w:rsidRPr="00BC320C">
              <w:rPr>
                <w:b/>
                <w:bCs/>
                <w:lang w:val="en-AU"/>
              </w:rPr>
              <w:t>.</w:t>
            </w:r>
            <w:r>
              <w:rPr>
                <w:b/>
                <w:bCs/>
                <w:lang w:val="en-AU"/>
              </w:rPr>
              <w:t xml:space="preserve">3 </w:t>
            </w:r>
            <w:r w:rsidRPr="00BC320C">
              <w:rPr>
                <w:b/>
                <w:bCs/>
                <w:lang w:val="en-AU"/>
              </w:rPr>
              <w:t xml:space="preserve">– </w:t>
            </w:r>
            <w:r>
              <w:rPr>
                <w:b/>
                <w:bCs/>
                <w:lang w:val="en-AU"/>
              </w:rPr>
              <w:t xml:space="preserve">Accessible templates and documents </w:t>
            </w:r>
          </w:p>
        </w:tc>
        <w:tc>
          <w:tcPr>
            <w:tcW w:w="8681" w:type="dxa"/>
            <w:shd w:val="clear" w:color="auto" w:fill="auto"/>
            <w:tcMar>
              <w:top w:w="57" w:type="dxa"/>
              <w:left w:w="57" w:type="dxa"/>
              <w:bottom w:w="57" w:type="dxa"/>
              <w:right w:w="85" w:type="dxa"/>
            </w:tcMar>
          </w:tcPr>
          <w:p w14:paraId="0F9A2F94" w14:textId="636D32F2" w:rsidR="009014AC" w:rsidRPr="00626F4A" w:rsidRDefault="009014AC" w:rsidP="009014AC">
            <w:pPr>
              <w:rPr>
                <w:lang w:val="en-AU"/>
              </w:rPr>
            </w:pPr>
            <w:r w:rsidRPr="00626F4A">
              <w:rPr>
                <w:lang w:val="en-AU"/>
              </w:rPr>
              <w:t>Provide best-practice guidance for all brand assets, templates, student, staff and community marketing and communications</w:t>
            </w:r>
            <w:r w:rsidR="000148C8">
              <w:rPr>
                <w:lang w:val="en-AU"/>
              </w:rPr>
              <w:t>,</w:t>
            </w:r>
            <w:r w:rsidRPr="00626F4A">
              <w:rPr>
                <w:lang w:val="en-AU"/>
              </w:rPr>
              <w:t xml:space="preserve"> and social media to be provided in accessible and easily navigated formats.</w:t>
            </w:r>
          </w:p>
        </w:tc>
        <w:tc>
          <w:tcPr>
            <w:tcW w:w="1330" w:type="dxa"/>
          </w:tcPr>
          <w:p w14:paraId="291FF0F2" w14:textId="799864C6" w:rsidR="009014AC" w:rsidRDefault="009014AC" w:rsidP="009014AC">
            <w:pPr>
              <w:jc w:val="center"/>
              <w:rPr>
                <w:lang w:val="en-AU"/>
              </w:rPr>
            </w:pPr>
            <w:r>
              <w:rPr>
                <w:lang w:val="en-AU"/>
              </w:rPr>
              <w:t>2024</w:t>
            </w:r>
          </w:p>
        </w:tc>
        <w:tc>
          <w:tcPr>
            <w:tcW w:w="2641" w:type="dxa"/>
            <w:shd w:val="clear" w:color="auto" w:fill="F2F2F2" w:themeFill="background1" w:themeFillShade="F2"/>
          </w:tcPr>
          <w:p w14:paraId="72551CAD" w14:textId="77777777" w:rsidR="009014AC" w:rsidRDefault="009014AC" w:rsidP="009014AC">
            <w:pPr>
              <w:jc w:val="center"/>
              <w:rPr>
                <w:lang w:val="en-AU"/>
              </w:rPr>
            </w:pPr>
            <w:r w:rsidRPr="00626F4A">
              <w:rPr>
                <w:lang w:val="en-AU"/>
              </w:rPr>
              <w:t>E</w:t>
            </w:r>
            <w:r>
              <w:rPr>
                <w:lang w:val="en-AU"/>
              </w:rPr>
              <w:t xml:space="preserve">xecutive </w:t>
            </w:r>
            <w:r w:rsidRPr="00626F4A">
              <w:rPr>
                <w:lang w:val="en-AU"/>
              </w:rPr>
              <w:t>D</w:t>
            </w:r>
            <w:r>
              <w:rPr>
                <w:lang w:val="en-AU"/>
              </w:rPr>
              <w:t>irector</w:t>
            </w:r>
            <w:r w:rsidRPr="00626F4A">
              <w:rPr>
                <w:lang w:val="en-AU"/>
              </w:rPr>
              <w:t xml:space="preserve"> Business Services</w:t>
            </w:r>
          </w:p>
          <w:p w14:paraId="496B45E3" w14:textId="76B79B32" w:rsidR="009014AC" w:rsidRPr="00626F4A" w:rsidRDefault="009014AC" w:rsidP="009014AC">
            <w:pPr>
              <w:jc w:val="center"/>
              <w:rPr>
                <w:lang w:val="en-AU"/>
              </w:rPr>
            </w:pPr>
            <w:r w:rsidRPr="00626F4A">
              <w:rPr>
                <w:lang w:val="en-AU"/>
              </w:rPr>
              <w:t xml:space="preserve"> D</w:t>
            </w:r>
            <w:r>
              <w:rPr>
                <w:lang w:val="en-AU"/>
              </w:rPr>
              <w:t>irector</w:t>
            </w:r>
            <w:r w:rsidRPr="00626F4A">
              <w:rPr>
                <w:lang w:val="en-AU"/>
              </w:rPr>
              <w:t xml:space="preserve"> </w:t>
            </w:r>
            <w:r w:rsidR="001E2D33">
              <w:rPr>
                <w:lang w:val="en-AU"/>
              </w:rPr>
              <w:t xml:space="preserve">Strategic </w:t>
            </w:r>
            <w:r w:rsidRPr="00626F4A">
              <w:rPr>
                <w:lang w:val="en-AU"/>
              </w:rPr>
              <w:t xml:space="preserve">Communications </w:t>
            </w:r>
          </w:p>
        </w:tc>
      </w:tr>
      <w:tr w:rsidR="009014AC" w14:paraId="0E0F51B2" w14:textId="77777777" w:rsidTr="00367169">
        <w:trPr>
          <w:trHeight w:val="715"/>
        </w:trPr>
        <w:tc>
          <w:tcPr>
            <w:tcW w:w="2093" w:type="dxa"/>
            <w:shd w:val="clear" w:color="auto" w:fill="E2EFE5"/>
            <w:tcMar>
              <w:top w:w="57" w:type="dxa"/>
              <w:left w:w="57" w:type="dxa"/>
              <w:bottom w:w="57" w:type="dxa"/>
              <w:right w:w="85" w:type="dxa"/>
            </w:tcMar>
          </w:tcPr>
          <w:p w14:paraId="7F9516E6" w14:textId="63D09C89" w:rsidR="009014AC" w:rsidRDefault="009014AC" w:rsidP="009014AC">
            <w:pPr>
              <w:rPr>
                <w:b/>
                <w:bCs/>
                <w:lang w:val="en-AU"/>
              </w:rPr>
            </w:pPr>
            <w:r>
              <w:rPr>
                <w:b/>
                <w:bCs/>
                <w:lang w:val="en-AU"/>
              </w:rPr>
              <w:t xml:space="preserve">2.4 – Accessibility in </w:t>
            </w:r>
            <w:r w:rsidR="00BA0A3E">
              <w:rPr>
                <w:b/>
                <w:bCs/>
                <w:lang w:val="en-AU"/>
              </w:rPr>
              <w:t>L</w:t>
            </w:r>
            <w:r w:rsidR="00BA0A3E">
              <w:rPr>
                <w:b/>
                <w:bCs/>
              </w:rPr>
              <w:t>earning Management System (</w:t>
            </w:r>
            <w:r>
              <w:rPr>
                <w:b/>
                <w:bCs/>
                <w:lang w:val="en-AU"/>
              </w:rPr>
              <w:t>LMS</w:t>
            </w:r>
            <w:r w:rsidR="00BA0A3E">
              <w:rPr>
                <w:b/>
                <w:bCs/>
                <w:lang w:val="en-AU"/>
              </w:rPr>
              <w:t>)</w:t>
            </w:r>
          </w:p>
        </w:tc>
        <w:tc>
          <w:tcPr>
            <w:tcW w:w="8681" w:type="dxa"/>
            <w:shd w:val="clear" w:color="auto" w:fill="auto"/>
            <w:tcMar>
              <w:top w:w="57" w:type="dxa"/>
              <w:left w:w="57" w:type="dxa"/>
              <w:bottom w:w="57" w:type="dxa"/>
              <w:right w:w="85" w:type="dxa"/>
            </w:tcMar>
          </w:tcPr>
          <w:p w14:paraId="159C7B74" w14:textId="1DD024E3" w:rsidR="009014AC" w:rsidRPr="002E5E8C" w:rsidRDefault="009014AC" w:rsidP="009014AC">
            <w:pPr>
              <w:rPr>
                <w:lang w:val="en-AU"/>
              </w:rPr>
            </w:pPr>
            <w:r w:rsidRPr="002E5E8C">
              <w:t>Develop best</w:t>
            </w:r>
            <w:r w:rsidR="00FC5EEE">
              <w:t>-</w:t>
            </w:r>
            <w:r w:rsidRPr="002E5E8C">
              <w:t>practice guidelines</w:t>
            </w:r>
            <w:r w:rsidR="00430B26">
              <w:t>, including examples,</w:t>
            </w:r>
            <w:r w:rsidRPr="002E5E8C">
              <w:t xml:space="preserve"> for LMS to support accessibility for </w:t>
            </w:r>
            <w:r w:rsidR="00BC31D1">
              <w:t xml:space="preserve">students and </w:t>
            </w:r>
            <w:r w:rsidRPr="002E5E8C">
              <w:t>staff.</w:t>
            </w:r>
          </w:p>
        </w:tc>
        <w:tc>
          <w:tcPr>
            <w:tcW w:w="1330" w:type="dxa"/>
          </w:tcPr>
          <w:p w14:paraId="2F38DB65" w14:textId="2D30B64F" w:rsidR="009014AC" w:rsidRDefault="009014AC" w:rsidP="009014AC">
            <w:pPr>
              <w:jc w:val="center"/>
              <w:rPr>
                <w:lang w:val="en-AU"/>
              </w:rPr>
            </w:pPr>
            <w:r>
              <w:rPr>
                <w:lang w:val="en-AU"/>
              </w:rPr>
              <w:t>2024</w:t>
            </w:r>
          </w:p>
        </w:tc>
        <w:tc>
          <w:tcPr>
            <w:tcW w:w="2641" w:type="dxa"/>
            <w:shd w:val="clear" w:color="auto" w:fill="F2F2F2" w:themeFill="background1" w:themeFillShade="F2"/>
          </w:tcPr>
          <w:p w14:paraId="7866FC18" w14:textId="77777777" w:rsidR="00FC5EEE" w:rsidRDefault="009014AC" w:rsidP="009014AC">
            <w:pPr>
              <w:jc w:val="center"/>
            </w:pPr>
            <w:r w:rsidRPr="00827D46">
              <w:t>E</w:t>
            </w:r>
            <w:r>
              <w:t xml:space="preserve">xecutive </w:t>
            </w:r>
            <w:r w:rsidRPr="00827D46">
              <w:t>D</w:t>
            </w:r>
            <w:r>
              <w:t>irector</w:t>
            </w:r>
            <w:r w:rsidRPr="00827D46">
              <w:t xml:space="preserve"> Business Services </w:t>
            </w:r>
          </w:p>
          <w:p w14:paraId="33458BC2" w14:textId="01271ABE" w:rsidR="009014AC" w:rsidRPr="00827D46" w:rsidRDefault="00FC5EEE" w:rsidP="009014AC">
            <w:pPr>
              <w:jc w:val="center"/>
              <w:rPr>
                <w:lang w:val="en-AU"/>
              </w:rPr>
            </w:pPr>
            <w:r>
              <w:t xml:space="preserve">Executive Director Student </w:t>
            </w:r>
            <w:r w:rsidR="00F75C68">
              <w:t>&amp;</w:t>
            </w:r>
            <w:r>
              <w:t xml:space="preserve"> Scholarly Services and </w:t>
            </w:r>
            <w:r w:rsidR="009014AC" w:rsidRPr="00827D46">
              <w:t>Academic Registrar</w:t>
            </w:r>
          </w:p>
        </w:tc>
      </w:tr>
      <w:tr w:rsidR="009014AC" w14:paraId="62496F97" w14:textId="77777777" w:rsidTr="00367169">
        <w:trPr>
          <w:trHeight w:val="715"/>
        </w:trPr>
        <w:tc>
          <w:tcPr>
            <w:tcW w:w="2093" w:type="dxa"/>
            <w:shd w:val="clear" w:color="auto" w:fill="E2EFE5"/>
            <w:tcMar>
              <w:top w:w="57" w:type="dxa"/>
              <w:left w:w="57" w:type="dxa"/>
              <w:bottom w:w="57" w:type="dxa"/>
              <w:right w:w="85" w:type="dxa"/>
            </w:tcMar>
          </w:tcPr>
          <w:p w14:paraId="6C28D2E1" w14:textId="77C1D115" w:rsidR="009014AC" w:rsidRDefault="009014AC" w:rsidP="009014AC">
            <w:pPr>
              <w:rPr>
                <w:b/>
                <w:bCs/>
                <w:lang w:val="en-AU"/>
              </w:rPr>
            </w:pPr>
            <w:r>
              <w:rPr>
                <w:b/>
                <w:bCs/>
                <w:lang w:val="en-AU"/>
              </w:rPr>
              <w:t>2.5 – Access to inclusive technologies</w:t>
            </w:r>
          </w:p>
        </w:tc>
        <w:tc>
          <w:tcPr>
            <w:tcW w:w="8681" w:type="dxa"/>
            <w:shd w:val="clear" w:color="auto" w:fill="auto"/>
            <w:tcMar>
              <w:top w:w="57" w:type="dxa"/>
              <w:left w:w="57" w:type="dxa"/>
              <w:bottom w:w="57" w:type="dxa"/>
              <w:right w:w="85" w:type="dxa"/>
            </w:tcMar>
          </w:tcPr>
          <w:p w14:paraId="4D9FAD86" w14:textId="1E8112B9" w:rsidR="009014AC" w:rsidRPr="002E5E8C" w:rsidRDefault="009014AC" w:rsidP="003E521B">
            <w:pPr>
              <w:spacing w:after="120"/>
            </w:pPr>
            <w:r w:rsidRPr="002E5E8C">
              <w:t>Improve staff and student access to and awareness of inclusive technologies:</w:t>
            </w:r>
          </w:p>
          <w:p w14:paraId="3D90A967" w14:textId="3743E9ED" w:rsidR="009014AC" w:rsidRPr="002E5E8C" w:rsidRDefault="009014AC" w:rsidP="009014AC">
            <w:pPr>
              <w:pStyle w:val="ListParagraph"/>
              <w:numPr>
                <w:ilvl w:val="0"/>
                <w:numId w:val="11"/>
              </w:numPr>
              <w:rPr>
                <w:lang w:val="en-AU"/>
              </w:rPr>
            </w:pPr>
            <w:r w:rsidRPr="002E5E8C">
              <w:rPr>
                <w:lang w:val="en-AU"/>
              </w:rPr>
              <w:t>Provide information about inclusive technology support available, known limitations of IT systems and methods of access</w:t>
            </w:r>
          </w:p>
          <w:p w14:paraId="752EFCEB" w14:textId="25C8CFA2" w:rsidR="009014AC" w:rsidRPr="0073646C" w:rsidRDefault="009014AC" w:rsidP="009014AC">
            <w:pPr>
              <w:pStyle w:val="ListParagraph"/>
              <w:numPr>
                <w:ilvl w:val="0"/>
                <w:numId w:val="11"/>
              </w:numPr>
              <w:rPr>
                <w:lang w:val="en-AU"/>
              </w:rPr>
            </w:pPr>
            <w:r w:rsidRPr="002E5E8C">
              <w:rPr>
                <w:rFonts w:ascii="Calibri" w:eastAsia="Calibri" w:hAnsi="Calibri" w:cs="Calibri"/>
                <w:color w:val="000000" w:themeColor="text1"/>
                <w:lang w:val="en-AU"/>
              </w:rPr>
              <w:lastRenderedPageBreak/>
              <w:t>Scope feasibility of centrally</w:t>
            </w:r>
            <w:r w:rsidR="00B63F78">
              <w:rPr>
                <w:rFonts w:ascii="Calibri" w:eastAsia="Calibri" w:hAnsi="Calibri" w:cs="Calibri"/>
                <w:color w:val="000000" w:themeColor="text1"/>
                <w:lang w:val="en-AU"/>
              </w:rPr>
              <w:t xml:space="preserve"> </w:t>
            </w:r>
            <w:r w:rsidRPr="002E5E8C">
              <w:rPr>
                <w:rFonts w:ascii="Calibri" w:eastAsia="Calibri" w:hAnsi="Calibri" w:cs="Calibri"/>
                <w:color w:val="000000" w:themeColor="text1"/>
                <w:lang w:val="en-AU"/>
              </w:rPr>
              <w:t>managed access to inclusive technologies for staff, via the workplace adjustments process.</w:t>
            </w:r>
          </w:p>
        </w:tc>
        <w:tc>
          <w:tcPr>
            <w:tcW w:w="1330" w:type="dxa"/>
          </w:tcPr>
          <w:p w14:paraId="26A9B4E4" w14:textId="1CA71357" w:rsidR="009014AC" w:rsidRDefault="009014AC" w:rsidP="009014AC">
            <w:pPr>
              <w:jc w:val="center"/>
              <w:rPr>
                <w:lang w:val="en-AU"/>
              </w:rPr>
            </w:pPr>
            <w:r>
              <w:rPr>
                <w:lang w:val="en-AU"/>
              </w:rPr>
              <w:lastRenderedPageBreak/>
              <w:t>2025</w:t>
            </w:r>
          </w:p>
        </w:tc>
        <w:tc>
          <w:tcPr>
            <w:tcW w:w="2641" w:type="dxa"/>
            <w:shd w:val="clear" w:color="auto" w:fill="F2F2F2" w:themeFill="background1" w:themeFillShade="F2"/>
          </w:tcPr>
          <w:p w14:paraId="578D497F" w14:textId="2A950AD7" w:rsidR="009014AC" w:rsidRPr="00827D46" w:rsidRDefault="009014AC" w:rsidP="009014AC">
            <w:pPr>
              <w:jc w:val="center"/>
              <w:rPr>
                <w:lang w:val="en-AU"/>
              </w:rPr>
            </w:pPr>
            <w:r w:rsidRPr="00827D46">
              <w:t>E</w:t>
            </w:r>
            <w:r>
              <w:t xml:space="preserve">xecutive </w:t>
            </w:r>
            <w:r w:rsidRPr="00827D46">
              <w:t>D</w:t>
            </w:r>
            <w:r>
              <w:t>irector</w:t>
            </w:r>
            <w:r w:rsidRPr="00827D46">
              <w:t xml:space="preserve"> Business Services</w:t>
            </w:r>
          </w:p>
        </w:tc>
      </w:tr>
      <w:tr w:rsidR="009014AC" w:rsidRPr="00BC320C" w14:paraId="2EF8E76A" w14:textId="77777777" w:rsidTr="00367169">
        <w:trPr>
          <w:trHeight w:val="813"/>
        </w:trPr>
        <w:tc>
          <w:tcPr>
            <w:tcW w:w="2093" w:type="dxa"/>
            <w:shd w:val="clear" w:color="auto" w:fill="C5DFCC"/>
            <w:tcMar>
              <w:top w:w="57" w:type="dxa"/>
              <w:left w:w="57" w:type="dxa"/>
              <w:bottom w:w="57" w:type="dxa"/>
              <w:right w:w="85" w:type="dxa"/>
            </w:tcMar>
          </w:tcPr>
          <w:p w14:paraId="10208319" w14:textId="77777777" w:rsidR="009014AC" w:rsidRDefault="009014AC" w:rsidP="009014AC">
            <w:pPr>
              <w:spacing w:after="0"/>
              <w:rPr>
                <w:b/>
                <w:bCs/>
                <w:lang w:val="en-AU"/>
              </w:rPr>
            </w:pPr>
          </w:p>
        </w:tc>
        <w:tc>
          <w:tcPr>
            <w:tcW w:w="8681" w:type="dxa"/>
            <w:shd w:val="clear" w:color="auto" w:fill="C5DFCC"/>
            <w:tcMar>
              <w:top w:w="57" w:type="dxa"/>
              <w:left w:w="57" w:type="dxa"/>
              <w:bottom w:w="57" w:type="dxa"/>
              <w:right w:w="85" w:type="dxa"/>
            </w:tcMar>
            <w:vAlign w:val="center"/>
          </w:tcPr>
          <w:p w14:paraId="4A51FF38" w14:textId="0A0D89E9" w:rsidR="009014AC" w:rsidRPr="000A52B2" w:rsidRDefault="009014AC" w:rsidP="00F92330">
            <w:pPr>
              <w:jc w:val="center"/>
            </w:pPr>
            <w:r>
              <w:rPr>
                <w:b/>
                <w:bCs/>
                <w:sz w:val="24"/>
                <w:szCs w:val="24"/>
              </w:rPr>
              <w:t>PHYSICAL ACCESSIBILITY</w:t>
            </w:r>
          </w:p>
        </w:tc>
        <w:tc>
          <w:tcPr>
            <w:tcW w:w="1330" w:type="dxa"/>
            <w:vAlign w:val="center"/>
          </w:tcPr>
          <w:p w14:paraId="46B8D678" w14:textId="62252322" w:rsidR="009014AC" w:rsidRDefault="0074203C" w:rsidP="00F92330">
            <w:pPr>
              <w:spacing w:after="0"/>
              <w:jc w:val="center"/>
              <w:rPr>
                <w:lang w:val="en-AU"/>
              </w:rPr>
            </w:pPr>
            <w:r>
              <w:rPr>
                <w:b/>
                <w:bCs/>
                <w:i/>
                <w:iCs/>
                <w:lang w:val="en-AU"/>
              </w:rPr>
              <w:t>Indicative t</w:t>
            </w:r>
            <w:r w:rsidR="009014AC">
              <w:rPr>
                <w:b/>
                <w:bCs/>
                <w:i/>
                <w:iCs/>
                <w:lang w:val="en-AU"/>
              </w:rPr>
              <w:t>imeline to commence</w:t>
            </w:r>
          </w:p>
        </w:tc>
        <w:tc>
          <w:tcPr>
            <w:tcW w:w="2641" w:type="dxa"/>
            <w:shd w:val="clear" w:color="auto" w:fill="F2F2F2" w:themeFill="background1" w:themeFillShade="F2"/>
            <w:vAlign w:val="center"/>
          </w:tcPr>
          <w:p w14:paraId="3C088C3D" w14:textId="53526207" w:rsidR="009014AC" w:rsidRDefault="009014AC" w:rsidP="00F92330">
            <w:pPr>
              <w:jc w:val="center"/>
              <w:rPr>
                <w:rFonts w:ascii="Calibri" w:eastAsia="SimSun" w:hAnsi="Calibri" w:cs="Times New Roman"/>
                <w:szCs w:val="20"/>
              </w:rPr>
            </w:pPr>
            <w:r>
              <w:rPr>
                <w:b/>
                <w:bCs/>
                <w:i/>
                <w:iCs/>
                <w:lang w:val="en-AU"/>
              </w:rPr>
              <w:t>Accountable</w:t>
            </w:r>
            <w:r w:rsidRPr="004B37A3">
              <w:rPr>
                <w:b/>
                <w:bCs/>
                <w:i/>
                <w:iCs/>
                <w:lang w:val="en-AU"/>
              </w:rPr>
              <w:t xml:space="preserve"> for implementation</w:t>
            </w:r>
          </w:p>
        </w:tc>
      </w:tr>
      <w:tr w:rsidR="009014AC" w:rsidRPr="00BC320C" w14:paraId="6202A017" w14:textId="77777777" w:rsidTr="00367169">
        <w:trPr>
          <w:trHeight w:val="813"/>
        </w:trPr>
        <w:tc>
          <w:tcPr>
            <w:tcW w:w="2093" w:type="dxa"/>
            <w:shd w:val="clear" w:color="auto" w:fill="E2EFE5"/>
            <w:tcMar>
              <w:top w:w="57" w:type="dxa"/>
              <w:left w:w="57" w:type="dxa"/>
              <w:bottom w:w="57" w:type="dxa"/>
              <w:right w:w="85" w:type="dxa"/>
            </w:tcMar>
            <w:hideMark/>
          </w:tcPr>
          <w:p w14:paraId="3C3C9FE0" w14:textId="615D22A5" w:rsidR="009014AC" w:rsidRPr="00BC320C" w:rsidRDefault="009014AC" w:rsidP="009014AC">
            <w:pPr>
              <w:spacing w:after="0"/>
            </w:pPr>
            <w:r>
              <w:rPr>
                <w:b/>
                <w:bCs/>
                <w:lang w:val="en-AU"/>
              </w:rPr>
              <w:t>2</w:t>
            </w:r>
            <w:r w:rsidRPr="00BC320C">
              <w:rPr>
                <w:b/>
                <w:bCs/>
                <w:lang w:val="en-AU"/>
              </w:rPr>
              <w:t>.</w:t>
            </w:r>
            <w:r>
              <w:rPr>
                <w:b/>
                <w:bCs/>
                <w:lang w:val="en-AU"/>
              </w:rPr>
              <w:t>6</w:t>
            </w:r>
            <w:r w:rsidRPr="00BC320C">
              <w:rPr>
                <w:b/>
                <w:bCs/>
                <w:lang w:val="en-AU"/>
              </w:rPr>
              <w:t xml:space="preserve"> – </w:t>
            </w:r>
            <w:r>
              <w:rPr>
                <w:b/>
                <w:bCs/>
                <w:lang w:val="en-AU"/>
              </w:rPr>
              <w:t>Design standards beyond compliance</w:t>
            </w:r>
          </w:p>
        </w:tc>
        <w:tc>
          <w:tcPr>
            <w:tcW w:w="8681" w:type="dxa"/>
            <w:shd w:val="clear" w:color="auto" w:fill="auto"/>
            <w:tcMar>
              <w:top w:w="57" w:type="dxa"/>
              <w:left w:w="57" w:type="dxa"/>
              <w:bottom w:w="57" w:type="dxa"/>
              <w:right w:w="85" w:type="dxa"/>
            </w:tcMar>
            <w:hideMark/>
          </w:tcPr>
          <w:p w14:paraId="7CCE304F" w14:textId="457E2BC7" w:rsidR="009014AC" w:rsidRPr="000A52B2" w:rsidRDefault="009014AC" w:rsidP="009014AC">
            <w:r w:rsidRPr="000A52B2">
              <w:t>Adopt and embed leading practice approaches to disability inclusion beyond ‘compliance’ in design standards for new buildings, rectification works and major works.</w:t>
            </w:r>
          </w:p>
        </w:tc>
        <w:tc>
          <w:tcPr>
            <w:tcW w:w="1330" w:type="dxa"/>
          </w:tcPr>
          <w:p w14:paraId="0D204209" w14:textId="29D1B2D1" w:rsidR="009014AC" w:rsidRPr="00CE5325" w:rsidRDefault="009014AC" w:rsidP="009014AC">
            <w:pPr>
              <w:jc w:val="center"/>
              <w:rPr>
                <w:lang w:val="en-AU"/>
              </w:rPr>
            </w:pPr>
            <w:r>
              <w:rPr>
                <w:lang w:val="en-AU"/>
              </w:rPr>
              <w:t>2023</w:t>
            </w:r>
          </w:p>
        </w:tc>
        <w:tc>
          <w:tcPr>
            <w:tcW w:w="2641" w:type="dxa"/>
            <w:shd w:val="clear" w:color="auto" w:fill="F2F2F2" w:themeFill="background1" w:themeFillShade="F2"/>
          </w:tcPr>
          <w:p w14:paraId="29920626" w14:textId="04F1CF03" w:rsidR="009014AC" w:rsidRPr="00BC320C" w:rsidRDefault="009014AC" w:rsidP="009014AC">
            <w:pPr>
              <w:jc w:val="center"/>
              <w:rPr>
                <w:lang w:val="en-AU"/>
              </w:rPr>
            </w:pPr>
            <w:r>
              <w:rPr>
                <w:rFonts w:ascii="Calibri" w:eastAsia="SimSun" w:hAnsi="Calibri" w:cs="Times New Roman"/>
                <w:szCs w:val="20"/>
              </w:rPr>
              <w:t>Executive Director Business Services</w:t>
            </w:r>
          </w:p>
        </w:tc>
      </w:tr>
      <w:tr w:rsidR="009014AC" w:rsidRPr="00BC320C" w14:paraId="3D25DFAA" w14:textId="77777777" w:rsidTr="00367169">
        <w:trPr>
          <w:trHeight w:val="1382"/>
        </w:trPr>
        <w:tc>
          <w:tcPr>
            <w:tcW w:w="2093" w:type="dxa"/>
            <w:shd w:val="clear" w:color="auto" w:fill="E2EFE5"/>
            <w:tcMar>
              <w:top w:w="57" w:type="dxa"/>
              <w:left w:w="57" w:type="dxa"/>
              <w:bottom w:w="57" w:type="dxa"/>
              <w:right w:w="85" w:type="dxa"/>
            </w:tcMar>
            <w:hideMark/>
          </w:tcPr>
          <w:p w14:paraId="19C48CB7" w14:textId="6FD31E73" w:rsidR="009014AC" w:rsidRPr="00BC320C" w:rsidRDefault="009014AC" w:rsidP="009014AC">
            <w:pPr>
              <w:spacing w:after="0"/>
            </w:pPr>
            <w:r>
              <w:rPr>
                <w:b/>
                <w:bCs/>
                <w:lang w:val="en-AU"/>
              </w:rPr>
              <w:t>2</w:t>
            </w:r>
            <w:r w:rsidRPr="00BC320C">
              <w:rPr>
                <w:b/>
                <w:bCs/>
                <w:lang w:val="en-AU"/>
              </w:rPr>
              <w:t>.</w:t>
            </w:r>
            <w:r>
              <w:rPr>
                <w:b/>
                <w:bCs/>
                <w:lang w:val="en-AU"/>
              </w:rPr>
              <w:t>7</w:t>
            </w:r>
            <w:r w:rsidRPr="00BC320C">
              <w:rPr>
                <w:b/>
                <w:bCs/>
                <w:lang w:val="en-AU"/>
              </w:rPr>
              <w:t xml:space="preserve"> – </w:t>
            </w:r>
            <w:r>
              <w:rPr>
                <w:b/>
                <w:bCs/>
                <w:lang w:val="en-AU"/>
              </w:rPr>
              <w:t>Specialist knowledge on disability inclusion in the built environment</w:t>
            </w:r>
          </w:p>
        </w:tc>
        <w:tc>
          <w:tcPr>
            <w:tcW w:w="8681" w:type="dxa"/>
            <w:shd w:val="clear" w:color="auto" w:fill="auto"/>
            <w:tcMar>
              <w:top w:w="57" w:type="dxa"/>
              <w:left w:w="57" w:type="dxa"/>
              <w:bottom w:w="57" w:type="dxa"/>
              <w:right w:w="85" w:type="dxa"/>
            </w:tcMar>
            <w:hideMark/>
          </w:tcPr>
          <w:p w14:paraId="19E99ADE" w14:textId="690D2EE9" w:rsidR="009014AC" w:rsidRPr="00A77484" w:rsidRDefault="009014AC" w:rsidP="003E521B">
            <w:pPr>
              <w:spacing w:after="120"/>
            </w:pPr>
            <w:r w:rsidRPr="00A77484">
              <w:t xml:space="preserve">Strengthen specialist knowledge on disability inclusion in the built environment for Campus </w:t>
            </w:r>
            <w:r w:rsidR="009441A2">
              <w:t>Services</w:t>
            </w:r>
            <w:r w:rsidR="005A4E29">
              <w:t xml:space="preserve"> staff</w:t>
            </w:r>
            <w:r w:rsidRPr="00A77484">
              <w:t xml:space="preserve"> by:</w:t>
            </w:r>
          </w:p>
          <w:p w14:paraId="3C931675" w14:textId="708464A3" w:rsidR="009014AC" w:rsidRPr="00A77484" w:rsidRDefault="009014AC" w:rsidP="009014AC">
            <w:pPr>
              <w:pStyle w:val="ListParagraph"/>
              <w:numPr>
                <w:ilvl w:val="0"/>
                <w:numId w:val="12"/>
              </w:numPr>
            </w:pPr>
            <w:r w:rsidRPr="00A77484">
              <w:t>Resourcing access to external expertise</w:t>
            </w:r>
          </w:p>
          <w:p w14:paraId="245713B6" w14:textId="45487238" w:rsidR="009014AC" w:rsidRPr="00A77484" w:rsidRDefault="009014AC" w:rsidP="009014AC">
            <w:pPr>
              <w:pStyle w:val="ListParagraph"/>
              <w:numPr>
                <w:ilvl w:val="0"/>
                <w:numId w:val="12"/>
              </w:numPr>
              <w:spacing w:after="0"/>
            </w:pPr>
            <w:r w:rsidRPr="00A77484">
              <w:t>Provision of professional development opportunities.</w:t>
            </w:r>
          </w:p>
        </w:tc>
        <w:tc>
          <w:tcPr>
            <w:tcW w:w="1330" w:type="dxa"/>
          </w:tcPr>
          <w:p w14:paraId="3B9BEEAE" w14:textId="5666BB04" w:rsidR="009014AC" w:rsidRDefault="009014AC" w:rsidP="009014AC">
            <w:pPr>
              <w:jc w:val="center"/>
              <w:rPr>
                <w:lang w:val="en-AU"/>
              </w:rPr>
            </w:pPr>
            <w:r>
              <w:rPr>
                <w:lang w:val="en-AU"/>
              </w:rPr>
              <w:t>2023</w:t>
            </w:r>
          </w:p>
        </w:tc>
        <w:tc>
          <w:tcPr>
            <w:tcW w:w="2641" w:type="dxa"/>
            <w:shd w:val="clear" w:color="auto" w:fill="F2F2F2" w:themeFill="background1" w:themeFillShade="F2"/>
          </w:tcPr>
          <w:p w14:paraId="68206093" w14:textId="4B9F50F3" w:rsidR="009014AC" w:rsidRPr="00BC320C" w:rsidRDefault="009014AC" w:rsidP="009014AC">
            <w:pPr>
              <w:jc w:val="center"/>
              <w:rPr>
                <w:lang w:val="en-AU"/>
              </w:rPr>
            </w:pPr>
            <w:r>
              <w:rPr>
                <w:rFonts w:ascii="Calibri" w:eastAsia="SimSun" w:hAnsi="Calibri" w:cs="Times New Roman"/>
                <w:szCs w:val="20"/>
              </w:rPr>
              <w:t>Executive Director Business Services</w:t>
            </w:r>
          </w:p>
        </w:tc>
      </w:tr>
      <w:tr w:rsidR="009014AC" w14:paraId="09D4C942" w14:textId="77777777" w:rsidTr="003377AE">
        <w:trPr>
          <w:trHeight w:val="1050"/>
        </w:trPr>
        <w:tc>
          <w:tcPr>
            <w:tcW w:w="2093" w:type="dxa"/>
            <w:shd w:val="clear" w:color="auto" w:fill="E2EFE5"/>
            <w:tcMar>
              <w:top w:w="57" w:type="dxa"/>
              <w:left w:w="57" w:type="dxa"/>
              <w:bottom w:w="57" w:type="dxa"/>
              <w:right w:w="85" w:type="dxa"/>
            </w:tcMar>
          </w:tcPr>
          <w:p w14:paraId="710244B0" w14:textId="4D070575" w:rsidR="009014AC" w:rsidRPr="00BC320C" w:rsidRDefault="009014AC" w:rsidP="009014AC">
            <w:pPr>
              <w:rPr>
                <w:b/>
                <w:bCs/>
                <w:lang w:val="en-AU"/>
              </w:rPr>
            </w:pPr>
            <w:r>
              <w:rPr>
                <w:b/>
                <w:bCs/>
                <w:lang w:val="en-AU"/>
              </w:rPr>
              <w:t>2</w:t>
            </w:r>
            <w:r w:rsidRPr="00BC320C">
              <w:rPr>
                <w:b/>
                <w:bCs/>
                <w:lang w:val="en-AU"/>
              </w:rPr>
              <w:t>.</w:t>
            </w:r>
            <w:r>
              <w:rPr>
                <w:b/>
                <w:bCs/>
                <w:lang w:val="en-AU"/>
              </w:rPr>
              <w:t xml:space="preserve">8 </w:t>
            </w:r>
            <w:r w:rsidRPr="00BC320C">
              <w:rPr>
                <w:b/>
                <w:bCs/>
                <w:lang w:val="en-AU"/>
              </w:rPr>
              <w:t xml:space="preserve">– </w:t>
            </w:r>
            <w:r>
              <w:rPr>
                <w:b/>
                <w:bCs/>
                <w:lang w:val="en-AU"/>
              </w:rPr>
              <w:t>Wayfinding</w:t>
            </w:r>
            <w:r w:rsidR="00845B6C">
              <w:rPr>
                <w:b/>
                <w:bCs/>
                <w:lang w:val="en-AU"/>
              </w:rPr>
              <w:t xml:space="preserve"> technologies</w:t>
            </w:r>
          </w:p>
        </w:tc>
        <w:tc>
          <w:tcPr>
            <w:tcW w:w="8681" w:type="dxa"/>
            <w:shd w:val="clear" w:color="auto" w:fill="auto"/>
            <w:tcMar>
              <w:top w:w="57" w:type="dxa"/>
              <w:left w:w="57" w:type="dxa"/>
              <w:bottom w:w="57" w:type="dxa"/>
              <w:right w:w="85" w:type="dxa"/>
            </w:tcMar>
          </w:tcPr>
          <w:p w14:paraId="7F11FC29" w14:textId="2D5D7719" w:rsidR="009014AC" w:rsidRPr="00A77484" w:rsidRDefault="009014AC" w:rsidP="009014AC">
            <w:pPr>
              <w:spacing w:after="0"/>
              <w:rPr>
                <w:lang w:val="en-AU"/>
              </w:rPr>
            </w:pPr>
            <w:r w:rsidRPr="00A77484">
              <w:t>Review physical and sensory wayfinding technologies and identify a best practice approach to ensuring clear and accessible methods are available to staff, students and visitors to the University.</w:t>
            </w:r>
          </w:p>
        </w:tc>
        <w:tc>
          <w:tcPr>
            <w:tcW w:w="1330" w:type="dxa"/>
          </w:tcPr>
          <w:p w14:paraId="7003A435" w14:textId="76602AE1" w:rsidR="009014AC" w:rsidRDefault="009014AC" w:rsidP="009014AC">
            <w:pPr>
              <w:jc w:val="center"/>
              <w:rPr>
                <w:lang w:val="en-AU"/>
              </w:rPr>
            </w:pPr>
            <w:r>
              <w:rPr>
                <w:lang w:val="en-AU"/>
              </w:rPr>
              <w:t>2023</w:t>
            </w:r>
          </w:p>
        </w:tc>
        <w:tc>
          <w:tcPr>
            <w:tcW w:w="2641" w:type="dxa"/>
            <w:shd w:val="clear" w:color="auto" w:fill="F2F2F2" w:themeFill="background1" w:themeFillShade="F2"/>
          </w:tcPr>
          <w:p w14:paraId="56BF7412" w14:textId="39F15039" w:rsidR="009014AC" w:rsidRDefault="009014AC" w:rsidP="009014AC">
            <w:pPr>
              <w:jc w:val="center"/>
              <w:rPr>
                <w:lang w:val="en-AU"/>
              </w:rPr>
            </w:pPr>
            <w:r>
              <w:rPr>
                <w:rFonts w:ascii="Calibri" w:eastAsia="SimSun" w:hAnsi="Calibri" w:cs="Times New Roman"/>
                <w:szCs w:val="20"/>
              </w:rPr>
              <w:t>Executive Director Business Services</w:t>
            </w:r>
          </w:p>
        </w:tc>
      </w:tr>
      <w:tr w:rsidR="009014AC" w14:paraId="10573FBF" w14:textId="77777777" w:rsidTr="00367169">
        <w:trPr>
          <w:trHeight w:val="715"/>
        </w:trPr>
        <w:tc>
          <w:tcPr>
            <w:tcW w:w="2093" w:type="dxa"/>
            <w:shd w:val="clear" w:color="auto" w:fill="E2EFE5"/>
            <w:tcMar>
              <w:top w:w="57" w:type="dxa"/>
              <w:left w:w="57" w:type="dxa"/>
              <w:bottom w:w="57" w:type="dxa"/>
              <w:right w:w="85" w:type="dxa"/>
            </w:tcMar>
          </w:tcPr>
          <w:p w14:paraId="43399FF9" w14:textId="1642156E" w:rsidR="009014AC" w:rsidRPr="00BC320C" w:rsidRDefault="009014AC" w:rsidP="009014AC">
            <w:pPr>
              <w:rPr>
                <w:b/>
                <w:bCs/>
                <w:lang w:val="en-AU"/>
              </w:rPr>
            </w:pPr>
            <w:r>
              <w:rPr>
                <w:b/>
                <w:bCs/>
                <w:lang w:val="en-AU"/>
              </w:rPr>
              <w:t>2.9 – Campus accessibility auditing and rectification</w:t>
            </w:r>
          </w:p>
        </w:tc>
        <w:tc>
          <w:tcPr>
            <w:tcW w:w="8681" w:type="dxa"/>
            <w:shd w:val="clear" w:color="auto" w:fill="auto"/>
            <w:tcMar>
              <w:top w:w="57" w:type="dxa"/>
              <w:left w:w="57" w:type="dxa"/>
              <w:bottom w:w="57" w:type="dxa"/>
              <w:right w:w="85" w:type="dxa"/>
            </w:tcMar>
          </w:tcPr>
          <w:p w14:paraId="14BAF9BD" w14:textId="4CAEB745" w:rsidR="009014AC" w:rsidRPr="00A77484" w:rsidRDefault="009014AC" w:rsidP="009014AC">
            <w:r w:rsidRPr="00A77484">
              <w:t>Continue regular auditing, evaluation of priorities and rectification planning for all campuses and ensure that facilities meet the needs of people with disabilit</w:t>
            </w:r>
            <w:r w:rsidR="00B466DE">
              <w:t>y</w:t>
            </w:r>
            <w:r w:rsidR="009B4543">
              <w:t>. This will be</w:t>
            </w:r>
            <w:r w:rsidRPr="00A77484">
              <w:t xml:space="preserve"> inclusive of internal and external features, furniture and technology (e.g. ramps and hearing loops).</w:t>
            </w:r>
          </w:p>
        </w:tc>
        <w:tc>
          <w:tcPr>
            <w:tcW w:w="1330" w:type="dxa"/>
          </w:tcPr>
          <w:p w14:paraId="640B78D0" w14:textId="441F7AA8" w:rsidR="009014AC" w:rsidRDefault="009014AC" w:rsidP="009014AC">
            <w:pPr>
              <w:jc w:val="center"/>
              <w:rPr>
                <w:lang w:val="en-AU"/>
              </w:rPr>
            </w:pPr>
            <w:r>
              <w:rPr>
                <w:lang w:val="en-AU"/>
              </w:rPr>
              <w:t>2023</w:t>
            </w:r>
          </w:p>
        </w:tc>
        <w:tc>
          <w:tcPr>
            <w:tcW w:w="2641" w:type="dxa"/>
            <w:shd w:val="clear" w:color="auto" w:fill="F2F2F2" w:themeFill="background1" w:themeFillShade="F2"/>
          </w:tcPr>
          <w:p w14:paraId="2726A366" w14:textId="799F5B4B" w:rsidR="009014AC" w:rsidRDefault="009014AC" w:rsidP="009014AC">
            <w:pPr>
              <w:jc w:val="center"/>
              <w:rPr>
                <w:lang w:val="en-AU"/>
              </w:rPr>
            </w:pPr>
            <w:r>
              <w:rPr>
                <w:rFonts w:ascii="Calibri" w:eastAsia="SimSun" w:hAnsi="Calibri" w:cs="Times New Roman"/>
                <w:szCs w:val="20"/>
              </w:rPr>
              <w:t>Executive Director Business Services</w:t>
            </w:r>
          </w:p>
        </w:tc>
      </w:tr>
      <w:tr w:rsidR="009014AC" w14:paraId="79263A81" w14:textId="77777777" w:rsidTr="00367169">
        <w:trPr>
          <w:trHeight w:val="715"/>
        </w:trPr>
        <w:tc>
          <w:tcPr>
            <w:tcW w:w="2093" w:type="dxa"/>
            <w:shd w:val="clear" w:color="auto" w:fill="E2EFE5"/>
            <w:tcMar>
              <w:top w:w="57" w:type="dxa"/>
              <w:left w:w="57" w:type="dxa"/>
              <w:bottom w:w="57" w:type="dxa"/>
              <w:right w:w="85" w:type="dxa"/>
            </w:tcMar>
          </w:tcPr>
          <w:p w14:paraId="72E472D0" w14:textId="4089F4AF" w:rsidR="009014AC" w:rsidRDefault="009014AC" w:rsidP="009014AC">
            <w:pPr>
              <w:spacing w:after="0"/>
              <w:rPr>
                <w:b/>
                <w:bCs/>
                <w:lang w:val="en-AU"/>
              </w:rPr>
            </w:pPr>
            <w:r>
              <w:rPr>
                <w:b/>
                <w:bCs/>
                <w:lang w:val="en-AU"/>
              </w:rPr>
              <w:t>2.10 – Personal Emergency Plans (PEPs)</w:t>
            </w:r>
          </w:p>
        </w:tc>
        <w:tc>
          <w:tcPr>
            <w:tcW w:w="8681" w:type="dxa"/>
            <w:shd w:val="clear" w:color="auto" w:fill="auto"/>
            <w:tcMar>
              <w:top w:w="57" w:type="dxa"/>
              <w:left w:w="57" w:type="dxa"/>
              <w:bottom w:w="57" w:type="dxa"/>
              <w:right w:w="85" w:type="dxa"/>
            </w:tcMar>
          </w:tcPr>
          <w:p w14:paraId="41158116" w14:textId="32AE9247" w:rsidR="009014AC" w:rsidRPr="00A77484" w:rsidRDefault="009014AC" w:rsidP="009014AC">
            <w:r w:rsidRPr="00A77484">
              <w:rPr>
                <w:lang w:val="en-AU"/>
              </w:rPr>
              <w:t>Develop new template and guidance for Personal Emergency Plans (PEPs), accompanied by a communications strategy to increase uptake by staff and students requiring a PEP.</w:t>
            </w:r>
          </w:p>
        </w:tc>
        <w:tc>
          <w:tcPr>
            <w:tcW w:w="1330" w:type="dxa"/>
          </w:tcPr>
          <w:p w14:paraId="7105F5A4" w14:textId="1216DE19" w:rsidR="009014AC" w:rsidRDefault="009014AC" w:rsidP="009014AC">
            <w:pPr>
              <w:jc w:val="center"/>
              <w:rPr>
                <w:lang w:val="en-AU"/>
              </w:rPr>
            </w:pPr>
            <w:r>
              <w:rPr>
                <w:lang w:val="en-AU"/>
              </w:rPr>
              <w:t>2023</w:t>
            </w:r>
          </w:p>
        </w:tc>
        <w:tc>
          <w:tcPr>
            <w:tcW w:w="2641" w:type="dxa"/>
            <w:shd w:val="clear" w:color="auto" w:fill="F2F2F2" w:themeFill="background1" w:themeFillShade="F2"/>
          </w:tcPr>
          <w:p w14:paraId="0CAD8DD1" w14:textId="36C457BD" w:rsidR="009014AC" w:rsidRDefault="009014AC" w:rsidP="009014AC">
            <w:pPr>
              <w:jc w:val="center"/>
              <w:rPr>
                <w:rFonts w:ascii="Calibri" w:eastAsia="SimSun" w:hAnsi="Calibri" w:cs="Times New Roman"/>
                <w:szCs w:val="20"/>
              </w:rPr>
            </w:pPr>
            <w:r>
              <w:rPr>
                <w:rFonts w:ascii="Calibri" w:eastAsia="SimSun" w:hAnsi="Calibri" w:cs="Times New Roman"/>
                <w:szCs w:val="20"/>
              </w:rPr>
              <w:t>Executive Director Business Services</w:t>
            </w:r>
          </w:p>
        </w:tc>
      </w:tr>
      <w:tr w:rsidR="009014AC" w14:paraId="49BB2E63" w14:textId="77777777" w:rsidTr="00367169">
        <w:trPr>
          <w:trHeight w:val="368"/>
        </w:trPr>
        <w:tc>
          <w:tcPr>
            <w:tcW w:w="2093" w:type="dxa"/>
            <w:shd w:val="clear" w:color="auto" w:fill="E2EFE5"/>
            <w:tcMar>
              <w:top w:w="57" w:type="dxa"/>
              <w:left w:w="57" w:type="dxa"/>
              <w:bottom w:w="57" w:type="dxa"/>
              <w:right w:w="85" w:type="dxa"/>
            </w:tcMar>
          </w:tcPr>
          <w:p w14:paraId="18A50482" w14:textId="2370A449" w:rsidR="009014AC" w:rsidRDefault="009014AC" w:rsidP="009014AC">
            <w:pPr>
              <w:spacing w:after="0"/>
              <w:rPr>
                <w:b/>
                <w:bCs/>
                <w:lang w:val="en-AU"/>
              </w:rPr>
            </w:pPr>
            <w:r>
              <w:rPr>
                <w:b/>
                <w:bCs/>
                <w:lang w:val="en-AU"/>
              </w:rPr>
              <w:t xml:space="preserve">2.11 – Reporting </w:t>
            </w:r>
            <w:r w:rsidR="00845B6C">
              <w:rPr>
                <w:b/>
                <w:bCs/>
                <w:lang w:val="en-AU"/>
              </w:rPr>
              <w:t xml:space="preserve">physical </w:t>
            </w:r>
            <w:r>
              <w:rPr>
                <w:b/>
                <w:bCs/>
                <w:lang w:val="en-AU"/>
              </w:rPr>
              <w:t>accessibility issues</w:t>
            </w:r>
          </w:p>
        </w:tc>
        <w:tc>
          <w:tcPr>
            <w:tcW w:w="8681" w:type="dxa"/>
            <w:shd w:val="clear" w:color="auto" w:fill="auto"/>
            <w:tcMar>
              <w:top w:w="57" w:type="dxa"/>
              <w:left w:w="57" w:type="dxa"/>
              <w:bottom w:w="57" w:type="dxa"/>
              <w:right w:w="85" w:type="dxa"/>
            </w:tcMar>
          </w:tcPr>
          <w:p w14:paraId="0DAAA4A7" w14:textId="1CD31865" w:rsidR="009014AC" w:rsidRPr="00395F7F" w:rsidRDefault="009014AC" w:rsidP="009014AC">
            <w:pPr>
              <w:spacing w:after="0"/>
              <w:rPr>
                <w:lang w:val="en-AU"/>
              </w:rPr>
            </w:pPr>
            <w:r w:rsidRPr="00395F7F">
              <w:t>Review and improve current processes for students</w:t>
            </w:r>
            <w:r w:rsidR="00034997">
              <w:t>, staff</w:t>
            </w:r>
            <w:r w:rsidRPr="00395F7F">
              <w:t xml:space="preserve"> and visitors to report physical accessibility issues, and implement communications to raise awareness of the process.</w:t>
            </w:r>
          </w:p>
        </w:tc>
        <w:tc>
          <w:tcPr>
            <w:tcW w:w="1330" w:type="dxa"/>
          </w:tcPr>
          <w:p w14:paraId="667B61B3" w14:textId="3D7E9C11" w:rsidR="009014AC" w:rsidRDefault="009014AC" w:rsidP="009014AC">
            <w:pPr>
              <w:jc w:val="center"/>
              <w:rPr>
                <w:lang w:val="en-AU"/>
              </w:rPr>
            </w:pPr>
            <w:r>
              <w:rPr>
                <w:lang w:val="en-AU"/>
              </w:rPr>
              <w:t>2023</w:t>
            </w:r>
            <w:r w:rsidR="00815C93">
              <w:rPr>
                <w:lang w:val="en-AU"/>
              </w:rPr>
              <w:t>-</w:t>
            </w:r>
            <w:r>
              <w:rPr>
                <w:lang w:val="en-AU"/>
              </w:rPr>
              <w:t>2024</w:t>
            </w:r>
          </w:p>
        </w:tc>
        <w:tc>
          <w:tcPr>
            <w:tcW w:w="2641" w:type="dxa"/>
            <w:shd w:val="clear" w:color="auto" w:fill="F2F2F2" w:themeFill="background1" w:themeFillShade="F2"/>
          </w:tcPr>
          <w:p w14:paraId="265FF15C" w14:textId="5216E33F" w:rsidR="009014AC" w:rsidRDefault="009014AC" w:rsidP="009014AC">
            <w:pPr>
              <w:spacing w:after="0"/>
              <w:jc w:val="center"/>
              <w:rPr>
                <w:rFonts w:ascii="Calibri" w:eastAsia="SimSun" w:hAnsi="Calibri" w:cs="Times New Roman"/>
                <w:szCs w:val="20"/>
              </w:rPr>
            </w:pPr>
            <w:r>
              <w:rPr>
                <w:rFonts w:ascii="Calibri" w:eastAsia="SimSun" w:hAnsi="Calibri" w:cs="Times New Roman"/>
                <w:szCs w:val="20"/>
              </w:rPr>
              <w:t>Executive Director Business Services</w:t>
            </w:r>
          </w:p>
        </w:tc>
      </w:tr>
      <w:tr w:rsidR="009014AC" w14:paraId="51D598D1" w14:textId="77777777" w:rsidTr="00367169">
        <w:trPr>
          <w:trHeight w:val="715"/>
        </w:trPr>
        <w:tc>
          <w:tcPr>
            <w:tcW w:w="2093" w:type="dxa"/>
            <w:shd w:val="clear" w:color="auto" w:fill="E2EFE5"/>
            <w:tcMar>
              <w:top w:w="57" w:type="dxa"/>
              <w:left w:w="57" w:type="dxa"/>
              <w:bottom w:w="57" w:type="dxa"/>
              <w:right w:w="85" w:type="dxa"/>
            </w:tcMar>
          </w:tcPr>
          <w:p w14:paraId="55A92E3E" w14:textId="7566392F" w:rsidR="009014AC" w:rsidRDefault="009014AC" w:rsidP="009014AC">
            <w:pPr>
              <w:rPr>
                <w:b/>
                <w:bCs/>
                <w:lang w:val="en-AU"/>
              </w:rPr>
            </w:pPr>
            <w:r>
              <w:rPr>
                <w:b/>
                <w:bCs/>
                <w:lang w:val="en-AU"/>
              </w:rPr>
              <w:lastRenderedPageBreak/>
              <w:t>2.12 – Demonstrate commitment in the built environment</w:t>
            </w:r>
          </w:p>
        </w:tc>
        <w:tc>
          <w:tcPr>
            <w:tcW w:w="8681" w:type="dxa"/>
            <w:shd w:val="clear" w:color="auto" w:fill="auto"/>
            <w:tcMar>
              <w:top w:w="57" w:type="dxa"/>
              <w:left w:w="57" w:type="dxa"/>
              <w:bottom w:w="57" w:type="dxa"/>
              <w:right w:w="85" w:type="dxa"/>
            </w:tcMar>
          </w:tcPr>
          <w:p w14:paraId="4F27DF8D" w14:textId="77777777" w:rsidR="009014AC" w:rsidRDefault="009014AC" w:rsidP="00345340">
            <w:pPr>
              <w:spacing w:after="120"/>
            </w:pPr>
            <w:r w:rsidRPr="00395F7F">
              <w:t>Demonstrate the University’s commitment to creating an inclusive environment through:</w:t>
            </w:r>
          </w:p>
          <w:p w14:paraId="17542A2E" w14:textId="77777777" w:rsidR="009014AC" w:rsidRPr="00804877" w:rsidRDefault="009014AC" w:rsidP="009014AC">
            <w:pPr>
              <w:pStyle w:val="ListParagraph"/>
              <w:numPr>
                <w:ilvl w:val="0"/>
                <w:numId w:val="13"/>
              </w:numPr>
              <w:rPr>
                <w:lang w:val="en-AU"/>
              </w:rPr>
            </w:pPr>
            <w:r w:rsidRPr="00804877">
              <w:t>Clear and consistent signage (e.g. font size and colour contrast, braille, tactile, consistent colouring)</w:t>
            </w:r>
          </w:p>
          <w:p w14:paraId="218FD3B1" w14:textId="77777777" w:rsidR="009014AC" w:rsidRPr="00804877" w:rsidRDefault="009014AC" w:rsidP="009014AC">
            <w:pPr>
              <w:pStyle w:val="ListParagraph"/>
              <w:numPr>
                <w:ilvl w:val="0"/>
                <w:numId w:val="13"/>
              </w:numPr>
              <w:rPr>
                <w:lang w:val="en-AU"/>
              </w:rPr>
            </w:pPr>
            <w:r w:rsidRPr="00804877">
              <w:t>Infrastructure to support accredited assistance animals</w:t>
            </w:r>
          </w:p>
          <w:p w14:paraId="7F1849C2" w14:textId="77777777" w:rsidR="009014AC" w:rsidRPr="00804877" w:rsidRDefault="009014AC" w:rsidP="009014AC">
            <w:pPr>
              <w:pStyle w:val="ListParagraph"/>
              <w:numPr>
                <w:ilvl w:val="0"/>
                <w:numId w:val="13"/>
              </w:numPr>
              <w:rPr>
                <w:lang w:val="en-AU"/>
              </w:rPr>
            </w:pPr>
            <w:r w:rsidRPr="00804877">
              <w:t>Improving access to accessible parking on all campuses</w:t>
            </w:r>
          </w:p>
          <w:p w14:paraId="565FD4F7" w14:textId="5089C8E4" w:rsidR="009014AC" w:rsidRPr="000A6D38" w:rsidRDefault="009014AC" w:rsidP="009014AC">
            <w:pPr>
              <w:pStyle w:val="ListParagraph"/>
              <w:numPr>
                <w:ilvl w:val="0"/>
                <w:numId w:val="13"/>
              </w:numPr>
              <w:rPr>
                <w:lang w:val="en-AU"/>
              </w:rPr>
            </w:pPr>
            <w:r w:rsidRPr="00804877">
              <w:t>Reporting on progress of infrastructure works to the University community.</w:t>
            </w:r>
          </w:p>
        </w:tc>
        <w:tc>
          <w:tcPr>
            <w:tcW w:w="1330" w:type="dxa"/>
          </w:tcPr>
          <w:p w14:paraId="3579FCC5" w14:textId="4F54DB77" w:rsidR="009014AC" w:rsidRDefault="009014AC" w:rsidP="009014AC">
            <w:pPr>
              <w:jc w:val="center"/>
              <w:rPr>
                <w:lang w:val="en-AU"/>
              </w:rPr>
            </w:pPr>
            <w:r>
              <w:rPr>
                <w:lang w:val="en-AU"/>
              </w:rPr>
              <w:t>2024</w:t>
            </w:r>
          </w:p>
        </w:tc>
        <w:tc>
          <w:tcPr>
            <w:tcW w:w="2641" w:type="dxa"/>
            <w:shd w:val="clear" w:color="auto" w:fill="F2F2F2" w:themeFill="background1" w:themeFillShade="F2"/>
          </w:tcPr>
          <w:p w14:paraId="23E2E0C5" w14:textId="5318DA4D" w:rsidR="009014AC" w:rsidRDefault="009014AC" w:rsidP="009014AC">
            <w:pPr>
              <w:jc w:val="center"/>
              <w:rPr>
                <w:rFonts w:ascii="Calibri" w:eastAsia="SimSun" w:hAnsi="Calibri" w:cs="Times New Roman"/>
                <w:szCs w:val="20"/>
              </w:rPr>
            </w:pPr>
            <w:r>
              <w:rPr>
                <w:rFonts w:ascii="Calibri" w:eastAsia="SimSun" w:hAnsi="Calibri" w:cs="Times New Roman"/>
                <w:szCs w:val="20"/>
              </w:rPr>
              <w:t>Executive Director Business Services</w:t>
            </w:r>
          </w:p>
        </w:tc>
      </w:tr>
    </w:tbl>
    <w:p w14:paraId="79096163" w14:textId="77777777" w:rsidR="006639C8" w:rsidRDefault="006639C8" w:rsidP="00D21D88">
      <w:pPr>
        <w:pStyle w:val="Heading1"/>
        <w:spacing w:after="240"/>
        <w:rPr>
          <w:rFonts w:ascii="Georgia" w:hAnsi="Georgia"/>
          <w:b/>
          <w:bCs/>
          <w:sz w:val="28"/>
          <w:szCs w:val="28"/>
        </w:rPr>
      </w:pPr>
    </w:p>
    <w:p w14:paraId="662855D2" w14:textId="77777777" w:rsidR="006639C8" w:rsidRDefault="006639C8">
      <w:pPr>
        <w:rPr>
          <w:rFonts w:ascii="Georgia" w:eastAsiaTheme="majorEastAsia" w:hAnsi="Georgia" w:cstheme="majorBidi"/>
          <w:b/>
          <w:bCs/>
          <w:color w:val="2F5496" w:themeColor="accent1" w:themeShade="BF"/>
          <w:sz w:val="28"/>
          <w:szCs w:val="28"/>
        </w:rPr>
      </w:pPr>
      <w:r>
        <w:rPr>
          <w:rFonts w:ascii="Georgia" w:hAnsi="Georgia"/>
          <w:b/>
          <w:bCs/>
          <w:sz w:val="28"/>
          <w:szCs w:val="28"/>
        </w:rPr>
        <w:br w:type="page"/>
      </w:r>
    </w:p>
    <w:p w14:paraId="36A4D45C" w14:textId="77E9F9FD" w:rsidR="00E31966" w:rsidRPr="00D21D88" w:rsidRDefault="00487C69" w:rsidP="00D21D88">
      <w:pPr>
        <w:pStyle w:val="Heading1"/>
        <w:spacing w:after="240"/>
        <w:rPr>
          <w:rFonts w:ascii="Georgia" w:hAnsi="Georgia"/>
          <w:b/>
          <w:bCs/>
          <w:sz w:val="28"/>
          <w:szCs w:val="28"/>
        </w:rPr>
      </w:pPr>
      <w:r>
        <w:rPr>
          <w:rFonts w:ascii="Georgia" w:hAnsi="Georgia"/>
          <w:b/>
          <w:bCs/>
          <w:sz w:val="28"/>
          <w:szCs w:val="28"/>
        </w:rPr>
        <w:lastRenderedPageBreak/>
        <w:t xml:space="preserve">Focus Area 3: </w:t>
      </w:r>
      <w:r w:rsidR="00804877">
        <w:rPr>
          <w:rFonts w:ascii="Georgia" w:hAnsi="Georgia"/>
          <w:b/>
          <w:bCs/>
          <w:sz w:val="28"/>
          <w:szCs w:val="28"/>
        </w:rPr>
        <w:t>Learning, Teaching and Research</w:t>
      </w:r>
      <w:r>
        <w:rPr>
          <w:rFonts w:ascii="Georgia" w:hAnsi="Georgia"/>
          <w:b/>
          <w:bCs/>
          <w:sz w:val="28"/>
          <w:szCs w:val="28"/>
        </w:rPr>
        <w:t xml:space="preserve"> </w:t>
      </w:r>
    </w:p>
    <w:p w14:paraId="6680A3CC" w14:textId="20BFA9CA" w:rsidR="003D4B6E" w:rsidRPr="00AD3F13" w:rsidRDefault="00AD3F13" w:rsidP="00AD3F13">
      <w:pPr>
        <w:jc w:val="center"/>
        <w:rPr>
          <w:i/>
          <w:iCs/>
          <w:color w:val="000000" w:themeColor="text1"/>
          <w:sz w:val="24"/>
          <w:szCs w:val="24"/>
          <w:lang w:val="en-AU"/>
        </w:rPr>
      </w:pPr>
      <w:r w:rsidRPr="00AD3F13">
        <w:rPr>
          <w:b/>
          <w:bCs/>
          <w:i/>
          <w:iCs/>
          <w:color w:val="000000" w:themeColor="text1"/>
          <w:sz w:val="24"/>
          <w:szCs w:val="24"/>
          <w:lang w:val="en-AU"/>
        </w:rPr>
        <w:t xml:space="preserve">Goal: </w:t>
      </w:r>
      <w:r w:rsidRPr="00AD3F13">
        <w:rPr>
          <w:i/>
          <w:iCs/>
          <w:color w:val="000000" w:themeColor="text1"/>
          <w:sz w:val="24"/>
          <w:szCs w:val="24"/>
          <w:lang w:val="en-AU"/>
        </w:rPr>
        <w:t>The University of Melbourne provides an inclusive learning experience, supports and promotes the success of researchers with disabilit</w:t>
      </w:r>
      <w:r w:rsidR="00B466DE">
        <w:rPr>
          <w:i/>
          <w:iCs/>
          <w:color w:val="000000" w:themeColor="text1"/>
          <w:sz w:val="24"/>
          <w:szCs w:val="24"/>
          <w:lang w:val="en-AU"/>
        </w:rPr>
        <w:t>y</w:t>
      </w:r>
      <w:r w:rsidRPr="00AD3F13">
        <w:rPr>
          <w:i/>
          <w:iCs/>
          <w:color w:val="000000" w:themeColor="text1"/>
          <w:sz w:val="24"/>
          <w:szCs w:val="24"/>
          <w:lang w:val="en-AU"/>
        </w:rPr>
        <w:t>, and demonstrates best practice disability inclusion and accessibility principles in teaching and research.</w:t>
      </w:r>
    </w:p>
    <w:tbl>
      <w:tblPr>
        <w:tblW w:w="14743" w:type="dxa"/>
        <w:tblInd w:w="-709" w:type="dxa"/>
        <w:tblBorders>
          <w:top w:val="single" w:sz="4" w:space="0" w:color="808080" w:themeColor="background1" w:themeShade="80"/>
          <w:bottom w:val="single" w:sz="4" w:space="0" w:color="808080" w:themeColor="background1" w:themeShade="80"/>
          <w:insideH w:val="single" w:sz="4" w:space="0" w:color="808080" w:themeColor="background1" w:themeShade="80"/>
        </w:tblBorders>
        <w:tblCellMar>
          <w:left w:w="0" w:type="dxa"/>
          <w:right w:w="0" w:type="dxa"/>
        </w:tblCellMar>
        <w:tblLook w:val="04A0" w:firstRow="1" w:lastRow="0" w:firstColumn="1" w:lastColumn="0" w:noHBand="0" w:noVBand="1"/>
      </w:tblPr>
      <w:tblGrid>
        <w:gridCol w:w="1985"/>
        <w:gridCol w:w="8930"/>
        <w:gridCol w:w="1134"/>
        <w:gridCol w:w="2694"/>
      </w:tblGrid>
      <w:tr w:rsidR="009014AC" w:rsidRPr="00BC320C" w14:paraId="4F1E3690" w14:textId="77777777" w:rsidTr="00367169">
        <w:trPr>
          <w:trHeight w:val="796"/>
        </w:trPr>
        <w:tc>
          <w:tcPr>
            <w:tcW w:w="1985" w:type="dxa"/>
            <w:shd w:val="clear" w:color="auto" w:fill="C5DFCC"/>
            <w:tcMar>
              <w:top w:w="57" w:type="dxa"/>
              <w:left w:w="57" w:type="dxa"/>
              <w:bottom w:w="57" w:type="dxa"/>
              <w:right w:w="85" w:type="dxa"/>
            </w:tcMar>
          </w:tcPr>
          <w:p w14:paraId="375ED525" w14:textId="77777777" w:rsidR="009014AC" w:rsidRDefault="009014AC" w:rsidP="009014AC">
            <w:pPr>
              <w:rPr>
                <w:b/>
                <w:bCs/>
                <w:lang w:val="en-AU"/>
              </w:rPr>
            </w:pPr>
          </w:p>
        </w:tc>
        <w:tc>
          <w:tcPr>
            <w:tcW w:w="8930" w:type="dxa"/>
            <w:shd w:val="clear" w:color="auto" w:fill="C5DFCC"/>
            <w:tcMar>
              <w:top w:w="57" w:type="dxa"/>
              <w:left w:w="57" w:type="dxa"/>
              <w:bottom w:w="57" w:type="dxa"/>
              <w:right w:w="85" w:type="dxa"/>
            </w:tcMar>
            <w:vAlign w:val="center"/>
          </w:tcPr>
          <w:p w14:paraId="4C23CA8D" w14:textId="402C0E8A" w:rsidR="009014AC" w:rsidRPr="007452EE" w:rsidRDefault="009014AC" w:rsidP="00F92330">
            <w:pPr>
              <w:jc w:val="center"/>
            </w:pPr>
            <w:r>
              <w:rPr>
                <w:b/>
                <w:bCs/>
              </w:rPr>
              <w:t>LEARNING AND TEACHING</w:t>
            </w:r>
          </w:p>
        </w:tc>
        <w:tc>
          <w:tcPr>
            <w:tcW w:w="1134" w:type="dxa"/>
            <w:vAlign w:val="center"/>
          </w:tcPr>
          <w:p w14:paraId="141E6276" w14:textId="6A86EA2D" w:rsidR="009014AC" w:rsidRPr="00AA1012" w:rsidRDefault="0074203C" w:rsidP="00F92330">
            <w:pPr>
              <w:spacing w:after="0"/>
              <w:jc w:val="center"/>
              <w:rPr>
                <w:lang w:val="en-AU"/>
              </w:rPr>
            </w:pPr>
            <w:r>
              <w:rPr>
                <w:b/>
                <w:bCs/>
                <w:i/>
                <w:iCs/>
                <w:lang w:val="en-AU"/>
              </w:rPr>
              <w:t>Indicative t</w:t>
            </w:r>
            <w:r w:rsidR="009014AC">
              <w:rPr>
                <w:b/>
                <w:bCs/>
                <w:i/>
                <w:iCs/>
                <w:lang w:val="en-AU"/>
              </w:rPr>
              <w:t>imeline to commence</w:t>
            </w:r>
          </w:p>
        </w:tc>
        <w:tc>
          <w:tcPr>
            <w:tcW w:w="2694" w:type="dxa"/>
            <w:shd w:val="clear" w:color="auto" w:fill="F2F2F2" w:themeFill="background1" w:themeFillShade="F2"/>
            <w:vAlign w:val="center"/>
          </w:tcPr>
          <w:p w14:paraId="6CB3F72C" w14:textId="2D3825DE" w:rsidR="009014AC" w:rsidRDefault="009014AC" w:rsidP="00F92330">
            <w:pPr>
              <w:jc w:val="center"/>
            </w:pPr>
            <w:r>
              <w:rPr>
                <w:b/>
                <w:bCs/>
                <w:i/>
                <w:iCs/>
                <w:lang w:val="en-AU"/>
              </w:rPr>
              <w:t>Accountable</w:t>
            </w:r>
            <w:r w:rsidRPr="004B37A3">
              <w:rPr>
                <w:b/>
                <w:bCs/>
                <w:i/>
                <w:iCs/>
                <w:lang w:val="en-AU"/>
              </w:rPr>
              <w:t xml:space="preserve"> for implementation</w:t>
            </w:r>
          </w:p>
        </w:tc>
      </w:tr>
      <w:tr w:rsidR="009014AC" w:rsidRPr="00BC320C" w14:paraId="2C2C14A7" w14:textId="77777777" w:rsidTr="00367169">
        <w:trPr>
          <w:trHeight w:val="796"/>
        </w:trPr>
        <w:tc>
          <w:tcPr>
            <w:tcW w:w="1985" w:type="dxa"/>
            <w:shd w:val="clear" w:color="auto" w:fill="E2EFE5"/>
            <w:tcMar>
              <w:top w:w="57" w:type="dxa"/>
              <w:left w:w="57" w:type="dxa"/>
              <w:bottom w:w="57" w:type="dxa"/>
              <w:right w:w="85" w:type="dxa"/>
            </w:tcMar>
            <w:hideMark/>
          </w:tcPr>
          <w:p w14:paraId="61F10DFA" w14:textId="13D1F0B2" w:rsidR="009014AC" w:rsidRPr="00BC320C" w:rsidRDefault="009014AC" w:rsidP="009014AC">
            <w:r>
              <w:rPr>
                <w:b/>
                <w:bCs/>
                <w:lang w:val="en-AU"/>
              </w:rPr>
              <w:t xml:space="preserve">3.1 – Improve accessibility of </w:t>
            </w:r>
            <w:r w:rsidR="00845B6C">
              <w:rPr>
                <w:b/>
                <w:bCs/>
                <w:lang w:val="en-AU"/>
              </w:rPr>
              <w:t>curriculum and assessment</w:t>
            </w:r>
          </w:p>
        </w:tc>
        <w:tc>
          <w:tcPr>
            <w:tcW w:w="8930" w:type="dxa"/>
            <w:shd w:val="clear" w:color="auto" w:fill="auto"/>
            <w:tcMar>
              <w:top w:w="57" w:type="dxa"/>
              <w:left w:w="57" w:type="dxa"/>
              <w:bottom w:w="57" w:type="dxa"/>
              <w:right w:w="85" w:type="dxa"/>
            </w:tcMar>
            <w:hideMark/>
          </w:tcPr>
          <w:p w14:paraId="70989645" w14:textId="77777777" w:rsidR="009014AC" w:rsidRPr="007452EE" w:rsidRDefault="009014AC" w:rsidP="00345340">
            <w:pPr>
              <w:spacing w:after="120"/>
            </w:pPr>
            <w:r w:rsidRPr="007452EE">
              <w:t>Design and implement approaches to improve accessibility of curriculum and assessment, for instance through broader adoption of Universal Design for Learning (UDL) and other inclusive pedagogies. This will be enabled by:</w:t>
            </w:r>
          </w:p>
          <w:p w14:paraId="7DBE354E" w14:textId="4371EFC1" w:rsidR="009014AC" w:rsidRPr="007452EE" w:rsidRDefault="009014AC" w:rsidP="009014AC">
            <w:pPr>
              <w:pStyle w:val="ListParagraph"/>
              <w:numPr>
                <w:ilvl w:val="0"/>
                <w:numId w:val="14"/>
              </w:numPr>
            </w:pPr>
            <w:r w:rsidRPr="007452EE">
              <w:t>Convening a Community of Practice to develop staff capabilities, share ideas and showcase best practice</w:t>
            </w:r>
          </w:p>
          <w:p w14:paraId="77B20EE7" w14:textId="5FABE3D1" w:rsidR="009014AC" w:rsidRPr="00BC320C" w:rsidRDefault="009014AC" w:rsidP="009014AC">
            <w:pPr>
              <w:pStyle w:val="ListParagraph"/>
              <w:numPr>
                <w:ilvl w:val="0"/>
                <w:numId w:val="14"/>
              </w:numPr>
            </w:pPr>
            <w:r w:rsidRPr="007452EE">
              <w:t>Support for teaching staff to adopt inclusive pedagogies through provision of training, advice and recognition.</w:t>
            </w:r>
          </w:p>
        </w:tc>
        <w:tc>
          <w:tcPr>
            <w:tcW w:w="1134" w:type="dxa"/>
          </w:tcPr>
          <w:p w14:paraId="04F2A104" w14:textId="77777777" w:rsidR="009014AC" w:rsidRPr="00AA1012" w:rsidRDefault="009014AC" w:rsidP="009014AC">
            <w:pPr>
              <w:jc w:val="center"/>
              <w:rPr>
                <w:lang w:val="en-AU"/>
              </w:rPr>
            </w:pPr>
            <w:r w:rsidRPr="00AA1012">
              <w:rPr>
                <w:lang w:val="en-AU"/>
              </w:rPr>
              <w:t>2023</w:t>
            </w:r>
          </w:p>
        </w:tc>
        <w:tc>
          <w:tcPr>
            <w:tcW w:w="2694" w:type="dxa"/>
            <w:shd w:val="clear" w:color="auto" w:fill="F2F2F2" w:themeFill="background1" w:themeFillShade="F2"/>
          </w:tcPr>
          <w:p w14:paraId="0DC9D5A0" w14:textId="2411D2C9" w:rsidR="009014AC" w:rsidRDefault="009014AC" w:rsidP="009014AC">
            <w:pPr>
              <w:jc w:val="center"/>
            </w:pPr>
            <w:r>
              <w:t>Deputy Vice</w:t>
            </w:r>
            <w:r w:rsidR="002E0333">
              <w:t>-</w:t>
            </w:r>
            <w:r>
              <w:t xml:space="preserve">Chancellor </w:t>
            </w:r>
            <w:r w:rsidR="00534212">
              <w:t>(</w:t>
            </w:r>
            <w:r>
              <w:t>Academic</w:t>
            </w:r>
            <w:r w:rsidR="00534212">
              <w:t>)</w:t>
            </w:r>
          </w:p>
          <w:p w14:paraId="0D5C6219" w14:textId="14510D0D" w:rsidR="009014AC" w:rsidRPr="000B7A15" w:rsidRDefault="009014AC" w:rsidP="009014AC">
            <w:pPr>
              <w:jc w:val="center"/>
            </w:pPr>
            <w:r>
              <w:t>Pro Vice</w:t>
            </w:r>
            <w:r w:rsidR="00187E86">
              <w:t>-</w:t>
            </w:r>
            <w:r>
              <w:t xml:space="preserve">Chancellor </w:t>
            </w:r>
            <w:r w:rsidR="00534212">
              <w:t>(</w:t>
            </w:r>
            <w:r>
              <w:t>Education</w:t>
            </w:r>
            <w:r w:rsidR="00534212">
              <w:t>)</w:t>
            </w:r>
          </w:p>
        </w:tc>
      </w:tr>
      <w:tr w:rsidR="009014AC" w:rsidRPr="00BC320C" w14:paraId="2D60830B" w14:textId="77777777" w:rsidTr="00367169">
        <w:trPr>
          <w:trHeight w:val="715"/>
        </w:trPr>
        <w:tc>
          <w:tcPr>
            <w:tcW w:w="1985" w:type="dxa"/>
            <w:shd w:val="clear" w:color="auto" w:fill="E2EFE5"/>
            <w:tcMar>
              <w:top w:w="57" w:type="dxa"/>
              <w:left w:w="57" w:type="dxa"/>
              <w:bottom w:w="57" w:type="dxa"/>
              <w:right w:w="85" w:type="dxa"/>
            </w:tcMar>
            <w:hideMark/>
          </w:tcPr>
          <w:p w14:paraId="32210DA8" w14:textId="05F4DA3B" w:rsidR="009014AC" w:rsidRPr="00BC320C" w:rsidRDefault="009014AC" w:rsidP="009014AC">
            <w:r>
              <w:rPr>
                <w:b/>
                <w:bCs/>
                <w:lang w:val="en-AU"/>
              </w:rPr>
              <w:t>3</w:t>
            </w:r>
            <w:r w:rsidRPr="00BC320C">
              <w:rPr>
                <w:b/>
                <w:bCs/>
                <w:lang w:val="en-AU"/>
              </w:rPr>
              <w:t>.</w:t>
            </w:r>
            <w:r>
              <w:rPr>
                <w:b/>
                <w:bCs/>
                <w:lang w:val="en-AU"/>
              </w:rPr>
              <w:t>2</w:t>
            </w:r>
            <w:r w:rsidRPr="00BC320C">
              <w:rPr>
                <w:b/>
                <w:bCs/>
                <w:lang w:val="en-AU"/>
              </w:rPr>
              <w:t xml:space="preserve"> – </w:t>
            </w:r>
            <w:r>
              <w:rPr>
                <w:b/>
                <w:bCs/>
                <w:lang w:val="en-AU"/>
              </w:rPr>
              <w:t>Framework for inherent requirements</w:t>
            </w:r>
          </w:p>
        </w:tc>
        <w:tc>
          <w:tcPr>
            <w:tcW w:w="8930" w:type="dxa"/>
            <w:shd w:val="clear" w:color="auto" w:fill="auto"/>
            <w:tcMar>
              <w:top w:w="57" w:type="dxa"/>
              <w:left w:w="57" w:type="dxa"/>
              <w:bottom w:w="57" w:type="dxa"/>
              <w:right w:w="85" w:type="dxa"/>
            </w:tcMar>
            <w:hideMark/>
          </w:tcPr>
          <w:p w14:paraId="3915A858" w14:textId="0BB2F155" w:rsidR="009014AC" w:rsidRPr="003C1FF4" w:rsidRDefault="009014AC" w:rsidP="009014AC">
            <w:r w:rsidRPr="003C1FF4">
              <w:t>Establish a University-wide framework for the articulation of inherent requirements</w:t>
            </w:r>
            <w:r w:rsidRPr="003C1FF4">
              <w:rPr>
                <w:rStyle w:val="FootnoteReference"/>
              </w:rPr>
              <w:footnoteReference w:id="3"/>
            </w:r>
            <w:r w:rsidRPr="003C1FF4">
              <w:t xml:space="preserve"> for award courses.</w:t>
            </w:r>
          </w:p>
        </w:tc>
        <w:tc>
          <w:tcPr>
            <w:tcW w:w="1134" w:type="dxa"/>
          </w:tcPr>
          <w:p w14:paraId="0EE8084C" w14:textId="77777777" w:rsidR="009014AC" w:rsidRDefault="009014AC" w:rsidP="009014AC">
            <w:pPr>
              <w:jc w:val="center"/>
              <w:rPr>
                <w:lang w:val="en-AU"/>
              </w:rPr>
            </w:pPr>
            <w:r>
              <w:rPr>
                <w:lang w:val="en-AU"/>
              </w:rPr>
              <w:t>2023</w:t>
            </w:r>
          </w:p>
        </w:tc>
        <w:tc>
          <w:tcPr>
            <w:tcW w:w="2694" w:type="dxa"/>
            <w:shd w:val="clear" w:color="auto" w:fill="F2F2F2" w:themeFill="background1" w:themeFillShade="F2"/>
          </w:tcPr>
          <w:p w14:paraId="1972FC73" w14:textId="02096A74" w:rsidR="009014AC" w:rsidRDefault="009014AC" w:rsidP="009014AC">
            <w:pPr>
              <w:jc w:val="center"/>
              <w:rPr>
                <w:sz w:val="28"/>
                <w:szCs w:val="28"/>
              </w:rPr>
            </w:pPr>
            <w:r>
              <w:t>Deputy Vice</w:t>
            </w:r>
            <w:r w:rsidR="002E0333">
              <w:t>-</w:t>
            </w:r>
            <w:r>
              <w:t xml:space="preserve">Chancellor </w:t>
            </w:r>
            <w:r w:rsidR="00534212">
              <w:t>(</w:t>
            </w:r>
            <w:r>
              <w:t>Academic</w:t>
            </w:r>
            <w:r w:rsidR="00534212">
              <w:t>)</w:t>
            </w:r>
            <w:r w:rsidRPr="00EA6B42">
              <w:rPr>
                <w:sz w:val="28"/>
                <w:szCs w:val="28"/>
              </w:rPr>
              <w:t xml:space="preserve"> </w:t>
            </w:r>
          </w:p>
          <w:p w14:paraId="7EB2D349" w14:textId="628B0EDC" w:rsidR="009014AC" w:rsidRPr="003C1FF4" w:rsidRDefault="009014AC" w:rsidP="009014AC">
            <w:pPr>
              <w:jc w:val="center"/>
              <w:rPr>
                <w:lang w:val="en-AU"/>
              </w:rPr>
            </w:pPr>
            <w:r w:rsidRPr="003C1FF4">
              <w:t>President Academic Board</w:t>
            </w:r>
          </w:p>
        </w:tc>
      </w:tr>
      <w:tr w:rsidR="009014AC" w:rsidRPr="00CA520B" w14:paraId="6052FC77" w14:textId="77777777" w:rsidTr="00367169">
        <w:trPr>
          <w:trHeight w:val="715"/>
        </w:trPr>
        <w:tc>
          <w:tcPr>
            <w:tcW w:w="1985" w:type="dxa"/>
            <w:shd w:val="clear" w:color="auto" w:fill="E2EFE5"/>
            <w:tcMar>
              <w:top w:w="57" w:type="dxa"/>
              <w:left w:w="57" w:type="dxa"/>
              <w:bottom w:w="57" w:type="dxa"/>
              <w:right w:w="85" w:type="dxa"/>
            </w:tcMar>
          </w:tcPr>
          <w:p w14:paraId="6A9009A5" w14:textId="06DE0F27" w:rsidR="009014AC" w:rsidRPr="00BC320C" w:rsidRDefault="009014AC" w:rsidP="009014AC">
            <w:pPr>
              <w:rPr>
                <w:b/>
                <w:bCs/>
                <w:lang w:val="en-AU"/>
              </w:rPr>
            </w:pPr>
            <w:r>
              <w:rPr>
                <w:b/>
                <w:bCs/>
                <w:lang w:val="en-AU"/>
              </w:rPr>
              <w:t>3</w:t>
            </w:r>
            <w:r w:rsidRPr="00BC320C">
              <w:rPr>
                <w:b/>
                <w:bCs/>
                <w:lang w:val="en-AU"/>
              </w:rPr>
              <w:t>.</w:t>
            </w:r>
            <w:r>
              <w:rPr>
                <w:b/>
                <w:bCs/>
                <w:lang w:val="en-AU"/>
              </w:rPr>
              <w:t xml:space="preserve">3 </w:t>
            </w:r>
            <w:r w:rsidRPr="00BC320C">
              <w:rPr>
                <w:b/>
                <w:bCs/>
                <w:lang w:val="en-AU"/>
              </w:rPr>
              <w:t>–</w:t>
            </w:r>
            <w:r>
              <w:rPr>
                <w:b/>
                <w:bCs/>
                <w:lang w:val="en-AU"/>
              </w:rPr>
              <w:t xml:space="preserve"> Accountability processes for teaching staff</w:t>
            </w:r>
          </w:p>
        </w:tc>
        <w:tc>
          <w:tcPr>
            <w:tcW w:w="8930" w:type="dxa"/>
            <w:shd w:val="clear" w:color="auto" w:fill="auto"/>
            <w:tcMar>
              <w:top w:w="57" w:type="dxa"/>
              <w:left w:w="57" w:type="dxa"/>
              <w:bottom w:w="57" w:type="dxa"/>
              <w:right w:w="85" w:type="dxa"/>
            </w:tcMar>
          </w:tcPr>
          <w:p w14:paraId="32CEF82D" w14:textId="367B4A2B" w:rsidR="009014AC" w:rsidRPr="00766DB5" w:rsidRDefault="009014AC" w:rsidP="00BB0A6F">
            <w:pPr>
              <w:rPr>
                <w:lang w:val="en-AU"/>
              </w:rPr>
            </w:pPr>
            <w:r w:rsidRPr="007452EE">
              <w:t>Provide guidance and implement accountability processes to ensure that teaching staff</w:t>
            </w:r>
            <w:r w:rsidR="00BB0A6F">
              <w:t xml:space="preserve"> c</w:t>
            </w:r>
            <w:r w:rsidRPr="00BB0A6F">
              <w:rPr>
                <w:lang w:val="en-AU"/>
              </w:rPr>
              <w:t>omply with the University’s legal obligations (</w:t>
            </w:r>
            <w:r w:rsidRPr="007A4A1E">
              <w:rPr>
                <w:i/>
                <w:iCs/>
                <w:lang w:val="en-AU"/>
              </w:rPr>
              <w:t>Disability Discrimination Act</w:t>
            </w:r>
            <w:r w:rsidRPr="00BB0A6F">
              <w:rPr>
                <w:lang w:val="en-AU"/>
              </w:rPr>
              <w:t xml:space="preserve">, </w:t>
            </w:r>
            <w:r w:rsidRPr="007A4A1E">
              <w:rPr>
                <w:i/>
                <w:iCs/>
                <w:lang w:val="en-AU"/>
              </w:rPr>
              <w:t>Disability Standards for Education</w:t>
            </w:r>
            <w:r w:rsidRPr="00BB0A6F">
              <w:rPr>
                <w:lang w:val="en-AU"/>
              </w:rPr>
              <w:t>) around provision of educational adjustments</w:t>
            </w:r>
            <w:r w:rsidR="00BB0A6F">
              <w:rPr>
                <w:lang w:val="en-AU"/>
              </w:rPr>
              <w:t>.</w:t>
            </w:r>
          </w:p>
        </w:tc>
        <w:tc>
          <w:tcPr>
            <w:tcW w:w="1134" w:type="dxa"/>
          </w:tcPr>
          <w:p w14:paraId="4913AC24" w14:textId="48E948BC" w:rsidR="009014AC" w:rsidRDefault="009014AC" w:rsidP="009014AC">
            <w:pPr>
              <w:jc w:val="center"/>
              <w:rPr>
                <w:lang w:val="en-AU"/>
              </w:rPr>
            </w:pPr>
            <w:r>
              <w:rPr>
                <w:lang w:val="en-AU"/>
              </w:rPr>
              <w:t>2023</w:t>
            </w:r>
          </w:p>
        </w:tc>
        <w:tc>
          <w:tcPr>
            <w:tcW w:w="2694" w:type="dxa"/>
            <w:shd w:val="clear" w:color="auto" w:fill="F2F2F2" w:themeFill="background1" w:themeFillShade="F2"/>
          </w:tcPr>
          <w:p w14:paraId="51E1A7B6" w14:textId="0D01CF28" w:rsidR="009014AC" w:rsidRPr="00BB0A6F" w:rsidRDefault="009014AC" w:rsidP="00BB0A6F">
            <w:pPr>
              <w:jc w:val="center"/>
              <w:rPr>
                <w:sz w:val="28"/>
                <w:szCs w:val="28"/>
              </w:rPr>
            </w:pPr>
            <w:r>
              <w:t>Deputy Vice</w:t>
            </w:r>
            <w:r w:rsidR="002E0333">
              <w:t>-</w:t>
            </w:r>
            <w:r>
              <w:t xml:space="preserve">Chancellor </w:t>
            </w:r>
            <w:r w:rsidR="00534212">
              <w:t>(</w:t>
            </w:r>
            <w:r>
              <w:t>Academic</w:t>
            </w:r>
            <w:r w:rsidR="00534212">
              <w:t>)</w:t>
            </w:r>
            <w:r w:rsidRPr="00EA6B42">
              <w:rPr>
                <w:sz w:val="28"/>
                <w:szCs w:val="28"/>
              </w:rPr>
              <w:t xml:space="preserve"> </w:t>
            </w:r>
          </w:p>
          <w:p w14:paraId="12BFBA19" w14:textId="351208EF" w:rsidR="009014AC" w:rsidRPr="00CA520B" w:rsidRDefault="009014AC" w:rsidP="009014AC">
            <w:pPr>
              <w:jc w:val="center"/>
            </w:pPr>
            <w:r>
              <w:t>Deputy Vice</w:t>
            </w:r>
            <w:r w:rsidR="002E0333">
              <w:t>-</w:t>
            </w:r>
            <w:r>
              <w:t>Chancellor (People &amp; Community)</w:t>
            </w:r>
          </w:p>
        </w:tc>
      </w:tr>
      <w:tr w:rsidR="009014AC" w14:paraId="5E9DF77F" w14:textId="77777777" w:rsidTr="00367169">
        <w:trPr>
          <w:trHeight w:val="715"/>
        </w:trPr>
        <w:tc>
          <w:tcPr>
            <w:tcW w:w="1985" w:type="dxa"/>
            <w:shd w:val="clear" w:color="auto" w:fill="E2EFE5"/>
            <w:tcMar>
              <w:top w:w="57" w:type="dxa"/>
              <w:left w:w="57" w:type="dxa"/>
              <w:bottom w:w="57" w:type="dxa"/>
              <w:right w:w="85" w:type="dxa"/>
            </w:tcMar>
          </w:tcPr>
          <w:p w14:paraId="6AAC4196" w14:textId="142BA449" w:rsidR="009014AC" w:rsidRPr="00BC320C" w:rsidRDefault="009014AC" w:rsidP="009014AC">
            <w:pPr>
              <w:rPr>
                <w:b/>
                <w:bCs/>
                <w:lang w:val="en-AU"/>
              </w:rPr>
            </w:pPr>
            <w:r>
              <w:rPr>
                <w:b/>
                <w:bCs/>
                <w:lang w:val="en-AU"/>
              </w:rPr>
              <w:lastRenderedPageBreak/>
              <w:t>3.4 – Guidelines for student internships</w:t>
            </w:r>
          </w:p>
        </w:tc>
        <w:tc>
          <w:tcPr>
            <w:tcW w:w="8930" w:type="dxa"/>
            <w:shd w:val="clear" w:color="auto" w:fill="auto"/>
            <w:tcMar>
              <w:top w:w="57" w:type="dxa"/>
              <w:left w:w="57" w:type="dxa"/>
              <w:bottom w:w="57" w:type="dxa"/>
              <w:right w:w="85" w:type="dxa"/>
            </w:tcMar>
          </w:tcPr>
          <w:p w14:paraId="6D5D07F5" w14:textId="13DFC41B" w:rsidR="009014AC" w:rsidRPr="00644377" w:rsidRDefault="009014AC" w:rsidP="009014AC">
            <w:pPr>
              <w:rPr>
                <w:lang w:val="en-AU"/>
              </w:rPr>
            </w:pPr>
            <w:r w:rsidRPr="00644377">
              <w:t>D</w:t>
            </w:r>
            <w:r w:rsidRPr="00644377" w:rsidDel="00371589">
              <w:t xml:space="preserve">evelop </w:t>
            </w:r>
            <w:r w:rsidRPr="00644377">
              <w:t>and promote best</w:t>
            </w:r>
            <w:r w:rsidRPr="00644377" w:rsidDel="00371589">
              <w:t xml:space="preserve"> practice guidelines for supporting students with disabilit</w:t>
            </w:r>
            <w:r w:rsidR="00B466DE">
              <w:t>y</w:t>
            </w:r>
            <w:r w:rsidRPr="00644377" w:rsidDel="00371589">
              <w:t xml:space="preserve"> </w:t>
            </w:r>
            <w:r w:rsidRPr="00644377">
              <w:t>in</w:t>
            </w:r>
            <w:r w:rsidRPr="00644377" w:rsidDel="00371589">
              <w:t xml:space="preserve"> internships and compulsory practice </w:t>
            </w:r>
            <w:r w:rsidRPr="00644377">
              <w:t>placements.</w:t>
            </w:r>
          </w:p>
        </w:tc>
        <w:tc>
          <w:tcPr>
            <w:tcW w:w="1134" w:type="dxa"/>
          </w:tcPr>
          <w:p w14:paraId="2507347F" w14:textId="56A89B95" w:rsidR="009014AC" w:rsidRDefault="009014AC" w:rsidP="009014AC">
            <w:pPr>
              <w:jc w:val="center"/>
              <w:rPr>
                <w:lang w:val="en-AU"/>
              </w:rPr>
            </w:pPr>
            <w:r>
              <w:rPr>
                <w:lang w:val="en-AU"/>
              </w:rPr>
              <w:t>2024</w:t>
            </w:r>
          </w:p>
        </w:tc>
        <w:tc>
          <w:tcPr>
            <w:tcW w:w="2694" w:type="dxa"/>
            <w:shd w:val="clear" w:color="auto" w:fill="F2F2F2" w:themeFill="background1" w:themeFillShade="F2"/>
          </w:tcPr>
          <w:p w14:paraId="2075B498" w14:textId="25ECEEC8" w:rsidR="009014AC" w:rsidRPr="00644377" w:rsidRDefault="009014AC" w:rsidP="009014AC">
            <w:pPr>
              <w:jc w:val="center"/>
              <w:rPr>
                <w:sz w:val="28"/>
                <w:szCs w:val="28"/>
              </w:rPr>
            </w:pPr>
            <w:r>
              <w:t>Deputy Vice</w:t>
            </w:r>
            <w:r w:rsidR="002E0333">
              <w:t>-</w:t>
            </w:r>
            <w:r>
              <w:t xml:space="preserve">Chancellor </w:t>
            </w:r>
            <w:r w:rsidR="00534212">
              <w:t>(</w:t>
            </w:r>
            <w:r>
              <w:t>Academic</w:t>
            </w:r>
            <w:r w:rsidR="00534212">
              <w:t>)</w:t>
            </w:r>
            <w:r w:rsidRPr="00EA6B42">
              <w:rPr>
                <w:sz w:val="28"/>
                <w:szCs w:val="28"/>
              </w:rPr>
              <w:t xml:space="preserve"> </w:t>
            </w:r>
          </w:p>
        </w:tc>
      </w:tr>
      <w:tr w:rsidR="009014AC" w:rsidRPr="00BC320C" w14:paraId="1AF8FB3C" w14:textId="77777777" w:rsidTr="00367169">
        <w:trPr>
          <w:trHeight w:val="796"/>
        </w:trPr>
        <w:tc>
          <w:tcPr>
            <w:tcW w:w="1985" w:type="dxa"/>
            <w:shd w:val="clear" w:color="auto" w:fill="C5DFCC"/>
            <w:tcMar>
              <w:top w:w="57" w:type="dxa"/>
              <w:left w:w="57" w:type="dxa"/>
              <w:bottom w:w="57" w:type="dxa"/>
              <w:right w:w="85" w:type="dxa"/>
            </w:tcMar>
          </w:tcPr>
          <w:p w14:paraId="06BF8175" w14:textId="77777777" w:rsidR="009014AC" w:rsidRDefault="009014AC" w:rsidP="009014AC">
            <w:pPr>
              <w:rPr>
                <w:b/>
                <w:bCs/>
                <w:lang w:val="en-AU"/>
              </w:rPr>
            </w:pPr>
          </w:p>
        </w:tc>
        <w:tc>
          <w:tcPr>
            <w:tcW w:w="8930" w:type="dxa"/>
            <w:shd w:val="clear" w:color="auto" w:fill="C5DFCC"/>
            <w:tcMar>
              <w:top w:w="57" w:type="dxa"/>
              <w:left w:w="57" w:type="dxa"/>
              <w:bottom w:w="57" w:type="dxa"/>
              <w:right w:w="85" w:type="dxa"/>
            </w:tcMar>
            <w:vAlign w:val="center"/>
          </w:tcPr>
          <w:p w14:paraId="7BD628DC" w14:textId="65EF36FB" w:rsidR="009014AC" w:rsidRPr="008326E0" w:rsidRDefault="009014AC" w:rsidP="00F92330">
            <w:pPr>
              <w:jc w:val="center"/>
            </w:pPr>
            <w:r>
              <w:rPr>
                <w:b/>
                <w:bCs/>
              </w:rPr>
              <w:t>RESEARCH SUPPORT AND COLLABORATION</w:t>
            </w:r>
          </w:p>
        </w:tc>
        <w:tc>
          <w:tcPr>
            <w:tcW w:w="1134" w:type="dxa"/>
            <w:vAlign w:val="center"/>
          </w:tcPr>
          <w:p w14:paraId="61EA8B70" w14:textId="506D5FE9" w:rsidR="009014AC" w:rsidRDefault="0074203C" w:rsidP="00F92330">
            <w:pPr>
              <w:spacing w:after="0"/>
              <w:jc w:val="center"/>
              <w:rPr>
                <w:lang w:val="en-AU"/>
              </w:rPr>
            </w:pPr>
            <w:r>
              <w:rPr>
                <w:b/>
                <w:bCs/>
                <w:i/>
                <w:iCs/>
                <w:lang w:val="en-AU"/>
              </w:rPr>
              <w:t>Indicative t</w:t>
            </w:r>
            <w:r w:rsidR="009014AC">
              <w:rPr>
                <w:b/>
                <w:bCs/>
                <w:i/>
                <w:iCs/>
                <w:lang w:val="en-AU"/>
              </w:rPr>
              <w:t>imeline to commence</w:t>
            </w:r>
          </w:p>
        </w:tc>
        <w:tc>
          <w:tcPr>
            <w:tcW w:w="2694" w:type="dxa"/>
            <w:shd w:val="clear" w:color="auto" w:fill="F2F2F2" w:themeFill="background1" w:themeFillShade="F2"/>
            <w:vAlign w:val="center"/>
          </w:tcPr>
          <w:p w14:paraId="7DF429EA" w14:textId="0A57F501" w:rsidR="009014AC" w:rsidRDefault="009014AC" w:rsidP="00F92330">
            <w:pPr>
              <w:jc w:val="center"/>
              <w:rPr>
                <w:lang w:val="en-AU"/>
              </w:rPr>
            </w:pPr>
            <w:r>
              <w:rPr>
                <w:b/>
                <w:bCs/>
                <w:i/>
                <w:iCs/>
                <w:lang w:val="en-AU"/>
              </w:rPr>
              <w:t>Accountable</w:t>
            </w:r>
            <w:r w:rsidRPr="004B37A3">
              <w:rPr>
                <w:b/>
                <w:bCs/>
                <w:i/>
                <w:iCs/>
                <w:lang w:val="en-AU"/>
              </w:rPr>
              <w:t xml:space="preserve"> for implementation</w:t>
            </w:r>
          </w:p>
        </w:tc>
      </w:tr>
      <w:tr w:rsidR="009014AC" w:rsidRPr="00BC320C" w14:paraId="0A5CA68B" w14:textId="77777777" w:rsidTr="00367169">
        <w:trPr>
          <w:trHeight w:val="796"/>
        </w:trPr>
        <w:tc>
          <w:tcPr>
            <w:tcW w:w="1985" w:type="dxa"/>
            <w:shd w:val="clear" w:color="auto" w:fill="E2EFE5"/>
            <w:tcMar>
              <w:top w:w="57" w:type="dxa"/>
              <w:left w:w="57" w:type="dxa"/>
              <w:bottom w:w="57" w:type="dxa"/>
              <w:right w:w="85" w:type="dxa"/>
            </w:tcMar>
          </w:tcPr>
          <w:p w14:paraId="7462E0CB" w14:textId="69547993" w:rsidR="009014AC" w:rsidRDefault="009014AC" w:rsidP="009014AC">
            <w:pPr>
              <w:rPr>
                <w:b/>
                <w:bCs/>
                <w:lang w:val="en-AU"/>
              </w:rPr>
            </w:pPr>
            <w:r>
              <w:rPr>
                <w:b/>
                <w:bCs/>
                <w:lang w:val="en-AU"/>
              </w:rPr>
              <w:t>3.5 – Facilitate expert advice on University projects</w:t>
            </w:r>
          </w:p>
        </w:tc>
        <w:tc>
          <w:tcPr>
            <w:tcW w:w="8930" w:type="dxa"/>
            <w:shd w:val="clear" w:color="auto" w:fill="auto"/>
            <w:tcMar>
              <w:top w:w="57" w:type="dxa"/>
              <w:left w:w="57" w:type="dxa"/>
              <w:bottom w:w="57" w:type="dxa"/>
              <w:right w:w="85" w:type="dxa"/>
            </w:tcMar>
          </w:tcPr>
          <w:p w14:paraId="1056D312" w14:textId="31EAA67A" w:rsidR="009014AC" w:rsidRPr="008326E0" w:rsidRDefault="009014AC" w:rsidP="009014AC">
            <w:r w:rsidRPr="008326E0">
              <w:t>Facilitate collaborations</w:t>
            </w:r>
            <w:r>
              <w:t xml:space="preserve"> (e.g. a Community of Practice)</w:t>
            </w:r>
            <w:r w:rsidRPr="008326E0">
              <w:t xml:space="preserve"> to enable internal disability experts to promote innovation and leading practice across the University. This may include projects in University operations, research, community engagement, teaching and learning.</w:t>
            </w:r>
          </w:p>
        </w:tc>
        <w:tc>
          <w:tcPr>
            <w:tcW w:w="1134" w:type="dxa"/>
          </w:tcPr>
          <w:p w14:paraId="6DEC0ED0" w14:textId="2F977597" w:rsidR="009014AC" w:rsidRPr="00D5149A" w:rsidRDefault="009014AC" w:rsidP="009014AC">
            <w:pPr>
              <w:jc w:val="center"/>
              <w:rPr>
                <w:lang w:val="en-AU"/>
              </w:rPr>
            </w:pPr>
            <w:r>
              <w:rPr>
                <w:lang w:val="en-AU"/>
              </w:rPr>
              <w:t>2023</w:t>
            </w:r>
          </w:p>
        </w:tc>
        <w:tc>
          <w:tcPr>
            <w:tcW w:w="2694" w:type="dxa"/>
            <w:shd w:val="clear" w:color="auto" w:fill="F2F2F2" w:themeFill="background1" w:themeFillShade="F2"/>
          </w:tcPr>
          <w:p w14:paraId="14012106" w14:textId="1416812E" w:rsidR="009014AC" w:rsidRDefault="009014AC" w:rsidP="009014AC">
            <w:pPr>
              <w:jc w:val="center"/>
              <w:rPr>
                <w:lang w:val="en-AU"/>
              </w:rPr>
            </w:pPr>
            <w:r>
              <w:rPr>
                <w:lang w:val="en-AU"/>
              </w:rPr>
              <w:t>Deputy Vice</w:t>
            </w:r>
            <w:r w:rsidR="002E0333">
              <w:rPr>
                <w:lang w:val="en-AU"/>
              </w:rPr>
              <w:t>-</w:t>
            </w:r>
            <w:r>
              <w:rPr>
                <w:lang w:val="en-AU"/>
              </w:rPr>
              <w:t xml:space="preserve">Chancellor </w:t>
            </w:r>
            <w:r w:rsidR="00534212">
              <w:rPr>
                <w:lang w:val="en-AU"/>
              </w:rPr>
              <w:t>(</w:t>
            </w:r>
            <w:r>
              <w:rPr>
                <w:lang w:val="en-AU"/>
              </w:rPr>
              <w:t>People &amp; Community</w:t>
            </w:r>
            <w:r w:rsidR="00534212">
              <w:rPr>
                <w:lang w:val="en-AU"/>
              </w:rPr>
              <w:t>)</w:t>
            </w:r>
          </w:p>
        </w:tc>
      </w:tr>
      <w:tr w:rsidR="009014AC" w:rsidRPr="00BC320C" w14:paraId="2CDAACE1" w14:textId="77777777" w:rsidTr="00367169">
        <w:trPr>
          <w:trHeight w:val="796"/>
        </w:trPr>
        <w:tc>
          <w:tcPr>
            <w:tcW w:w="1985" w:type="dxa"/>
            <w:shd w:val="clear" w:color="auto" w:fill="E2EFE5"/>
            <w:tcMar>
              <w:top w:w="57" w:type="dxa"/>
              <w:left w:w="57" w:type="dxa"/>
              <w:bottom w:w="57" w:type="dxa"/>
              <w:right w:w="85" w:type="dxa"/>
            </w:tcMar>
            <w:hideMark/>
          </w:tcPr>
          <w:p w14:paraId="104259D4" w14:textId="0B9249F4" w:rsidR="009014AC" w:rsidRPr="00BC320C" w:rsidRDefault="009014AC" w:rsidP="009014AC">
            <w:r>
              <w:rPr>
                <w:b/>
                <w:bCs/>
                <w:lang w:val="en-AU"/>
              </w:rPr>
              <w:t>3.6 – Support for researchers with disabilit</w:t>
            </w:r>
            <w:r w:rsidR="00B466DE">
              <w:rPr>
                <w:b/>
                <w:bCs/>
                <w:lang w:val="en-AU"/>
              </w:rPr>
              <w:t>y</w:t>
            </w:r>
          </w:p>
        </w:tc>
        <w:tc>
          <w:tcPr>
            <w:tcW w:w="8930" w:type="dxa"/>
            <w:shd w:val="clear" w:color="auto" w:fill="auto"/>
            <w:tcMar>
              <w:top w:w="57" w:type="dxa"/>
              <w:left w:w="57" w:type="dxa"/>
              <w:bottom w:w="57" w:type="dxa"/>
              <w:right w:w="85" w:type="dxa"/>
            </w:tcMar>
            <w:hideMark/>
          </w:tcPr>
          <w:p w14:paraId="3CE0F58E" w14:textId="481122F5" w:rsidR="009014AC" w:rsidRPr="00FA3740" w:rsidRDefault="009014AC" w:rsidP="009014AC">
            <w:r w:rsidRPr="00FA3740">
              <w:rPr>
                <w:lang w:val="en-AU"/>
              </w:rPr>
              <w:t>Develop an approach to support researchers (</w:t>
            </w:r>
            <w:r w:rsidR="000D16FC">
              <w:rPr>
                <w:lang w:val="en-AU"/>
              </w:rPr>
              <w:t>graduate researchers</w:t>
            </w:r>
            <w:r w:rsidR="00D7721F">
              <w:rPr>
                <w:lang w:val="en-AU"/>
              </w:rPr>
              <w:t xml:space="preserve"> </w:t>
            </w:r>
            <w:r w:rsidR="00D7721F">
              <w:t>and s</w:t>
            </w:r>
            <w:r w:rsidR="009D500A">
              <w:t>taff</w:t>
            </w:r>
            <w:r w:rsidRPr="00FA3740">
              <w:rPr>
                <w:lang w:val="en-AU"/>
              </w:rPr>
              <w:t>) with disabilit</w:t>
            </w:r>
            <w:r w:rsidR="00B466DE">
              <w:rPr>
                <w:lang w:val="en-AU"/>
              </w:rPr>
              <w:t>y</w:t>
            </w:r>
            <w:r w:rsidRPr="00FA3740">
              <w:rPr>
                <w:lang w:val="en-AU"/>
              </w:rPr>
              <w:t xml:space="preserve"> to engage in research on an equitable basis</w:t>
            </w:r>
            <w:r w:rsidR="00ED16CC">
              <w:rPr>
                <w:lang w:val="en-AU"/>
              </w:rPr>
              <w:t xml:space="preserve"> with their peers</w:t>
            </w:r>
            <w:r w:rsidRPr="00FA3740">
              <w:rPr>
                <w:lang w:val="en-AU"/>
              </w:rPr>
              <w:t xml:space="preserve">. </w:t>
            </w:r>
          </w:p>
        </w:tc>
        <w:tc>
          <w:tcPr>
            <w:tcW w:w="1134" w:type="dxa"/>
          </w:tcPr>
          <w:p w14:paraId="1D392174" w14:textId="448F6B7F" w:rsidR="009014AC" w:rsidRPr="00D5149A" w:rsidRDefault="009014AC" w:rsidP="009014AC">
            <w:pPr>
              <w:jc w:val="center"/>
              <w:rPr>
                <w:lang w:val="en-AU"/>
              </w:rPr>
            </w:pPr>
            <w:r>
              <w:rPr>
                <w:lang w:val="en-AU"/>
              </w:rPr>
              <w:t>2025</w:t>
            </w:r>
          </w:p>
        </w:tc>
        <w:tc>
          <w:tcPr>
            <w:tcW w:w="2694" w:type="dxa"/>
            <w:shd w:val="clear" w:color="auto" w:fill="F2F2F2" w:themeFill="background1" w:themeFillShade="F2"/>
          </w:tcPr>
          <w:p w14:paraId="6527C8D1" w14:textId="7F425AB9" w:rsidR="009014AC" w:rsidRDefault="009014AC" w:rsidP="009014AC">
            <w:pPr>
              <w:jc w:val="center"/>
              <w:rPr>
                <w:lang w:val="en-AU"/>
              </w:rPr>
            </w:pPr>
            <w:r>
              <w:rPr>
                <w:lang w:val="en-AU"/>
              </w:rPr>
              <w:t>Deputy Vice</w:t>
            </w:r>
            <w:r w:rsidR="002E0333">
              <w:rPr>
                <w:lang w:val="en-AU"/>
              </w:rPr>
              <w:t>-</w:t>
            </w:r>
            <w:r>
              <w:rPr>
                <w:lang w:val="en-AU"/>
              </w:rPr>
              <w:t xml:space="preserve">Chancellor </w:t>
            </w:r>
            <w:r w:rsidR="00534212">
              <w:rPr>
                <w:lang w:val="en-AU"/>
              </w:rPr>
              <w:t>(</w:t>
            </w:r>
            <w:r>
              <w:rPr>
                <w:lang w:val="en-AU"/>
              </w:rPr>
              <w:t>Research</w:t>
            </w:r>
            <w:r w:rsidR="00534212">
              <w:rPr>
                <w:lang w:val="en-AU"/>
              </w:rPr>
              <w:t>)</w:t>
            </w:r>
          </w:p>
          <w:p w14:paraId="33C522F4" w14:textId="0FAF4680" w:rsidR="009014AC" w:rsidRPr="00BC320C" w:rsidRDefault="009014AC" w:rsidP="00943EEB">
            <w:pPr>
              <w:jc w:val="center"/>
              <w:rPr>
                <w:lang w:val="en-AU"/>
              </w:rPr>
            </w:pPr>
            <w:r>
              <w:rPr>
                <w:lang w:val="en-AU"/>
              </w:rPr>
              <w:t>D</w:t>
            </w:r>
            <w:r w:rsidR="00534212">
              <w:rPr>
                <w:lang w:val="en-AU"/>
              </w:rPr>
              <w:t xml:space="preserve">eputy </w:t>
            </w:r>
            <w:r>
              <w:rPr>
                <w:lang w:val="en-AU"/>
              </w:rPr>
              <w:t>V</w:t>
            </w:r>
            <w:r w:rsidR="00534212">
              <w:rPr>
                <w:lang w:val="en-AU"/>
              </w:rPr>
              <w:t>ice</w:t>
            </w:r>
            <w:r w:rsidR="002E0333">
              <w:rPr>
                <w:lang w:val="en-AU"/>
              </w:rPr>
              <w:t>-</w:t>
            </w:r>
            <w:r>
              <w:rPr>
                <w:lang w:val="en-AU"/>
              </w:rPr>
              <w:t>C</w:t>
            </w:r>
            <w:r w:rsidR="00534212">
              <w:rPr>
                <w:lang w:val="en-AU"/>
              </w:rPr>
              <w:t>hancellor</w:t>
            </w:r>
            <w:r>
              <w:rPr>
                <w:lang w:val="en-AU"/>
              </w:rPr>
              <w:t xml:space="preserve"> (Academic)</w:t>
            </w:r>
          </w:p>
        </w:tc>
      </w:tr>
    </w:tbl>
    <w:p w14:paraId="774A3912" w14:textId="77777777" w:rsidR="006639C8" w:rsidRDefault="006639C8" w:rsidP="003E665D">
      <w:pPr>
        <w:pStyle w:val="Heading1"/>
        <w:spacing w:after="240"/>
        <w:rPr>
          <w:rFonts w:ascii="Georgia" w:hAnsi="Georgia"/>
          <w:b/>
          <w:bCs/>
          <w:sz w:val="28"/>
          <w:szCs w:val="28"/>
        </w:rPr>
      </w:pPr>
    </w:p>
    <w:p w14:paraId="3D129EE5" w14:textId="77777777" w:rsidR="006639C8" w:rsidRDefault="006639C8">
      <w:pPr>
        <w:rPr>
          <w:rFonts w:ascii="Georgia" w:eastAsiaTheme="majorEastAsia" w:hAnsi="Georgia" w:cstheme="majorBidi"/>
          <w:b/>
          <w:bCs/>
          <w:color w:val="2F5496" w:themeColor="accent1" w:themeShade="BF"/>
          <w:sz w:val="28"/>
          <w:szCs w:val="28"/>
        </w:rPr>
      </w:pPr>
      <w:r>
        <w:rPr>
          <w:rFonts w:ascii="Georgia" w:hAnsi="Georgia"/>
          <w:b/>
          <w:bCs/>
          <w:sz w:val="28"/>
          <w:szCs w:val="28"/>
        </w:rPr>
        <w:br w:type="page"/>
      </w:r>
    </w:p>
    <w:p w14:paraId="7138C162" w14:textId="757C4FE9" w:rsidR="003E665D" w:rsidRPr="003E665D" w:rsidRDefault="007838B4" w:rsidP="003E665D">
      <w:pPr>
        <w:pStyle w:val="Heading1"/>
        <w:spacing w:after="240"/>
        <w:rPr>
          <w:rFonts w:ascii="Georgia" w:hAnsi="Georgia"/>
          <w:b/>
          <w:bCs/>
          <w:sz w:val="28"/>
          <w:szCs w:val="28"/>
        </w:rPr>
      </w:pPr>
      <w:r>
        <w:rPr>
          <w:rFonts w:ascii="Georgia" w:hAnsi="Georgia"/>
          <w:b/>
          <w:bCs/>
          <w:sz w:val="28"/>
          <w:szCs w:val="28"/>
        </w:rPr>
        <w:lastRenderedPageBreak/>
        <w:t xml:space="preserve">Focus Area 4: </w:t>
      </w:r>
      <w:r w:rsidR="00321243">
        <w:rPr>
          <w:rFonts w:ascii="Georgia" w:hAnsi="Georgia"/>
          <w:b/>
          <w:bCs/>
          <w:sz w:val="28"/>
          <w:szCs w:val="28"/>
        </w:rPr>
        <w:t>Student Recruitment, Support and Employability</w:t>
      </w:r>
      <w:r>
        <w:rPr>
          <w:rFonts w:ascii="Georgia" w:hAnsi="Georgia"/>
          <w:b/>
          <w:bCs/>
          <w:sz w:val="28"/>
          <w:szCs w:val="28"/>
        </w:rPr>
        <w:t xml:space="preserve"> </w:t>
      </w:r>
    </w:p>
    <w:p w14:paraId="1CCEB69C" w14:textId="6CEFDE23" w:rsidR="00FF74C0" w:rsidRPr="000256C6" w:rsidRDefault="000256C6" w:rsidP="00850E4B">
      <w:pPr>
        <w:spacing w:line="240" w:lineRule="auto"/>
        <w:jc w:val="center"/>
        <w:rPr>
          <w:i/>
          <w:iCs/>
          <w:sz w:val="28"/>
          <w:szCs w:val="28"/>
        </w:rPr>
      </w:pPr>
      <w:r w:rsidRPr="000256C6">
        <w:rPr>
          <w:b/>
          <w:bCs/>
          <w:i/>
          <w:iCs/>
          <w:sz w:val="24"/>
          <w:szCs w:val="24"/>
          <w:lang w:val="en-AU"/>
        </w:rPr>
        <w:t xml:space="preserve">Goal: </w:t>
      </w:r>
      <w:r w:rsidRPr="000256C6">
        <w:rPr>
          <w:i/>
          <w:iCs/>
          <w:sz w:val="24"/>
          <w:szCs w:val="24"/>
          <w:lang w:val="en-AU"/>
        </w:rPr>
        <w:t xml:space="preserve">The University of Melbourne is an inclusive and accessible place where students </w:t>
      </w:r>
      <w:r w:rsidR="00B466DE">
        <w:rPr>
          <w:i/>
          <w:iCs/>
          <w:sz w:val="24"/>
          <w:szCs w:val="24"/>
          <w:lang w:val="en-AU"/>
        </w:rPr>
        <w:t>with disability</w:t>
      </w:r>
      <w:r w:rsidRPr="000256C6">
        <w:rPr>
          <w:i/>
          <w:iCs/>
          <w:sz w:val="24"/>
          <w:szCs w:val="24"/>
          <w:lang w:val="en-AU"/>
        </w:rPr>
        <w:t>, chronic health conditions, mental health conditions and/or their carers are supported to thrive and succeed.</w:t>
      </w:r>
    </w:p>
    <w:tbl>
      <w:tblPr>
        <w:tblW w:w="14745" w:type="dxa"/>
        <w:tblInd w:w="-709" w:type="dxa"/>
        <w:tblBorders>
          <w:top w:val="single" w:sz="2" w:space="0" w:color="808080" w:themeColor="background1" w:themeShade="80"/>
          <w:bottom w:val="single" w:sz="2" w:space="0" w:color="808080" w:themeColor="background1" w:themeShade="80"/>
          <w:insideH w:val="single" w:sz="2" w:space="0" w:color="808080" w:themeColor="background1" w:themeShade="80"/>
        </w:tblBorders>
        <w:tblCellMar>
          <w:left w:w="0" w:type="dxa"/>
          <w:right w:w="0" w:type="dxa"/>
        </w:tblCellMar>
        <w:tblLook w:val="04A0" w:firstRow="1" w:lastRow="0" w:firstColumn="1" w:lastColumn="0" w:noHBand="0" w:noVBand="1"/>
      </w:tblPr>
      <w:tblGrid>
        <w:gridCol w:w="1985"/>
        <w:gridCol w:w="8402"/>
        <w:gridCol w:w="1487"/>
        <w:gridCol w:w="2871"/>
      </w:tblGrid>
      <w:tr w:rsidR="009014AC" w:rsidRPr="00BC320C" w14:paraId="15C5988E" w14:textId="77777777" w:rsidTr="00367169">
        <w:trPr>
          <w:trHeight w:val="935"/>
        </w:trPr>
        <w:tc>
          <w:tcPr>
            <w:tcW w:w="1985" w:type="dxa"/>
            <w:shd w:val="clear" w:color="auto" w:fill="C5DFCC"/>
            <w:tcMar>
              <w:top w:w="57" w:type="dxa"/>
              <w:left w:w="57" w:type="dxa"/>
              <w:bottom w:w="57" w:type="dxa"/>
              <w:right w:w="85" w:type="dxa"/>
            </w:tcMar>
          </w:tcPr>
          <w:p w14:paraId="6D99478C" w14:textId="77777777" w:rsidR="009014AC" w:rsidRDefault="009014AC" w:rsidP="009014AC">
            <w:pPr>
              <w:rPr>
                <w:b/>
                <w:bCs/>
                <w:lang w:val="en-AU"/>
              </w:rPr>
            </w:pPr>
          </w:p>
        </w:tc>
        <w:tc>
          <w:tcPr>
            <w:tcW w:w="8402" w:type="dxa"/>
            <w:shd w:val="clear" w:color="auto" w:fill="C5DFCC"/>
            <w:tcMar>
              <w:top w:w="57" w:type="dxa"/>
              <w:left w:w="57" w:type="dxa"/>
              <w:bottom w:w="57" w:type="dxa"/>
              <w:right w:w="85" w:type="dxa"/>
            </w:tcMar>
            <w:vAlign w:val="center"/>
          </w:tcPr>
          <w:p w14:paraId="2C5AAC83" w14:textId="69FB45FE" w:rsidR="009014AC" w:rsidRPr="00A412F4" w:rsidRDefault="009014AC" w:rsidP="00F92330">
            <w:pPr>
              <w:jc w:val="center"/>
            </w:pPr>
            <w:r>
              <w:rPr>
                <w:b/>
                <w:bCs/>
                <w:sz w:val="24"/>
                <w:szCs w:val="24"/>
              </w:rPr>
              <w:t>STUDENT SUPPORT</w:t>
            </w:r>
          </w:p>
        </w:tc>
        <w:tc>
          <w:tcPr>
            <w:tcW w:w="1487" w:type="dxa"/>
            <w:vAlign w:val="center"/>
          </w:tcPr>
          <w:p w14:paraId="2D98F1BC" w14:textId="73D2C770" w:rsidR="009014AC" w:rsidRPr="00116E1D" w:rsidRDefault="0074203C" w:rsidP="00F92330">
            <w:pPr>
              <w:spacing w:after="0"/>
              <w:jc w:val="center"/>
              <w:rPr>
                <w:lang w:val="en-AU"/>
              </w:rPr>
            </w:pPr>
            <w:r>
              <w:rPr>
                <w:b/>
                <w:bCs/>
                <w:i/>
                <w:iCs/>
                <w:lang w:val="en-AU"/>
              </w:rPr>
              <w:t>Indicative t</w:t>
            </w:r>
            <w:r w:rsidR="009014AC">
              <w:rPr>
                <w:b/>
                <w:bCs/>
                <w:i/>
                <w:iCs/>
                <w:lang w:val="en-AU"/>
              </w:rPr>
              <w:t>imeline to commence</w:t>
            </w:r>
          </w:p>
        </w:tc>
        <w:tc>
          <w:tcPr>
            <w:tcW w:w="2871" w:type="dxa"/>
            <w:shd w:val="clear" w:color="auto" w:fill="F2F2F2" w:themeFill="background1" w:themeFillShade="F2"/>
            <w:vAlign w:val="center"/>
          </w:tcPr>
          <w:p w14:paraId="5F7E9276" w14:textId="2D769024" w:rsidR="009014AC" w:rsidRDefault="009014AC" w:rsidP="00F92330">
            <w:pPr>
              <w:jc w:val="center"/>
              <w:rPr>
                <w:rFonts w:ascii="Calibri" w:eastAsia="SimSun" w:hAnsi="Calibri" w:cs="Times New Roman"/>
                <w:szCs w:val="20"/>
              </w:rPr>
            </w:pPr>
            <w:r>
              <w:rPr>
                <w:b/>
                <w:bCs/>
                <w:i/>
                <w:iCs/>
                <w:lang w:val="en-AU"/>
              </w:rPr>
              <w:t>Accountable</w:t>
            </w:r>
            <w:r w:rsidRPr="004B37A3">
              <w:rPr>
                <w:b/>
                <w:bCs/>
                <w:i/>
                <w:iCs/>
                <w:lang w:val="en-AU"/>
              </w:rPr>
              <w:t xml:space="preserve"> for implementation</w:t>
            </w:r>
          </w:p>
        </w:tc>
      </w:tr>
      <w:tr w:rsidR="009014AC" w:rsidRPr="00BC320C" w14:paraId="66DFBB55" w14:textId="77777777" w:rsidTr="00367169">
        <w:trPr>
          <w:trHeight w:val="935"/>
        </w:trPr>
        <w:tc>
          <w:tcPr>
            <w:tcW w:w="1985" w:type="dxa"/>
            <w:shd w:val="clear" w:color="auto" w:fill="E2EFE5"/>
            <w:tcMar>
              <w:top w:w="57" w:type="dxa"/>
              <w:left w:w="57" w:type="dxa"/>
              <w:bottom w:w="57" w:type="dxa"/>
              <w:right w:w="85" w:type="dxa"/>
            </w:tcMar>
            <w:hideMark/>
          </w:tcPr>
          <w:p w14:paraId="2F953CBD" w14:textId="7120153C" w:rsidR="009014AC" w:rsidRPr="00BC320C" w:rsidRDefault="009014AC" w:rsidP="009014AC">
            <w:r>
              <w:rPr>
                <w:b/>
                <w:bCs/>
                <w:lang w:val="en-AU"/>
              </w:rPr>
              <w:t xml:space="preserve">4.1 – </w:t>
            </w:r>
            <w:r w:rsidR="00430B26">
              <w:rPr>
                <w:b/>
                <w:bCs/>
                <w:lang w:val="en-AU"/>
              </w:rPr>
              <w:t>Review of Student Equity and Disability Support (SEDS)</w:t>
            </w:r>
          </w:p>
        </w:tc>
        <w:tc>
          <w:tcPr>
            <w:tcW w:w="8402" w:type="dxa"/>
            <w:shd w:val="clear" w:color="auto" w:fill="auto"/>
            <w:tcMar>
              <w:top w:w="57" w:type="dxa"/>
              <w:left w:w="57" w:type="dxa"/>
              <w:bottom w:w="57" w:type="dxa"/>
              <w:right w:w="85" w:type="dxa"/>
            </w:tcMar>
            <w:hideMark/>
          </w:tcPr>
          <w:p w14:paraId="1395CF1A" w14:textId="13F2CAB0" w:rsidR="009014AC" w:rsidRPr="00A412F4" w:rsidRDefault="003C171C" w:rsidP="00345340">
            <w:pPr>
              <w:spacing w:after="120"/>
            </w:pPr>
            <w:r>
              <w:t>Undertake a review of Student Equity and Disability Services (SEDS)</w:t>
            </w:r>
            <w:r w:rsidR="00C97EC4">
              <w:t xml:space="preserve"> to</w:t>
            </w:r>
            <w:r w:rsidR="009014AC" w:rsidRPr="00A412F4">
              <w:t>:</w:t>
            </w:r>
          </w:p>
          <w:p w14:paraId="352771BA" w14:textId="0507A3F8" w:rsidR="0045217C" w:rsidRPr="00A412F4" w:rsidRDefault="00AF0389" w:rsidP="0045217C">
            <w:pPr>
              <w:pStyle w:val="ListParagraph"/>
              <w:numPr>
                <w:ilvl w:val="0"/>
                <w:numId w:val="16"/>
              </w:numPr>
            </w:pPr>
            <w:r>
              <w:rPr>
                <w:rFonts w:ascii="Calibri" w:eastAsia="Calibri" w:hAnsi="Calibri" w:cs="Calibri"/>
              </w:rPr>
              <w:t xml:space="preserve">Review and report on the current suitability, function and fit </w:t>
            </w:r>
            <w:r w:rsidR="00DA5324">
              <w:rPr>
                <w:rFonts w:ascii="Calibri" w:eastAsia="Calibri" w:hAnsi="Calibri" w:cs="Calibri"/>
              </w:rPr>
              <w:t>of the University’s ongoing registration and tangible supports for students</w:t>
            </w:r>
          </w:p>
          <w:p w14:paraId="0B47EE9D" w14:textId="22CAD4BF" w:rsidR="009014AC" w:rsidRPr="00BC320C" w:rsidRDefault="00DA5324" w:rsidP="00DA5324">
            <w:pPr>
              <w:pStyle w:val="ListParagraph"/>
              <w:numPr>
                <w:ilvl w:val="0"/>
                <w:numId w:val="16"/>
              </w:numPr>
            </w:pPr>
            <w:r>
              <w:rPr>
                <w:rFonts w:ascii="Calibri" w:eastAsia="Calibri" w:hAnsi="Calibri" w:cs="Calibri"/>
              </w:rPr>
              <w:t xml:space="preserve">Recommend </w:t>
            </w:r>
            <w:r w:rsidR="00032CB7">
              <w:rPr>
                <w:rFonts w:ascii="Calibri" w:eastAsia="Calibri" w:hAnsi="Calibri" w:cs="Calibri"/>
              </w:rPr>
              <w:t>future supports, including system requirements, process recommendations</w:t>
            </w:r>
            <w:r w:rsidR="00385D5D">
              <w:rPr>
                <w:rFonts w:ascii="Calibri" w:eastAsia="Calibri" w:hAnsi="Calibri" w:cs="Calibri"/>
              </w:rPr>
              <w:t xml:space="preserve">, </w:t>
            </w:r>
            <w:r w:rsidR="00032CB7">
              <w:rPr>
                <w:rFonts w:ascii="Calibri" w:eastAsia="Calibri" w:hAnsi="Calibri" w:cs="Calibri"/>
              </w:rPr>
              <w:t>staff resourcing</w:t>
            </w:r>
            <w:r w:rsidR="00385D5D">
              <w:rPr>
                <w:rFonts w:ascii="Calibri" w:eastAsia="Calibri" w:hAnsi="Calibri" w:cs="Calibri"/>
              </w:rPr>
              <w:t xml:space="preserve"> and skills/expertise requirements</w:t>
            </w:r>
            <w:r w:rsidR="00775B77">
              <w:rPr>
                <w:rFonts w:ascii="Calibri" w:eastAsia="Calibri" w:hAnsi="Calibri" w:cs="Calibri"/>
              </w:rPr>
              <w:t xml:space="preserve"> to ensure that SEDS is able to meet current and future student needs.</w:t>
            </w:r>
          </w:p>
        </w:tc>
        <w:tc>
          <w:tcPr>
            <w:tcW w:w="1487" w:type="dxa"/>
          </w:tcPr>
          <w:p w14:paraId="6199A93E" w14:textId="77777777" w:rsidR="009014AC" w:rsidRPr="00116E1D" w:rsidRDefault="009014AC" w:rsidP="009014AC">
            <w:pPr>
              <w:jc w:val="center"/>
              <w:rPr>
                <w:lang w:val="en-AU"/>
              </w:rPr>
            </w:pPr>
            <w:r w:rsidRPr="00116E1D">
              <w:rPr>
                <w:lang w:val="en-AU"/>
              </w:rPr>
              <w:t>2023</w:t>
            </w:r>
          </w:p>
        </w:tc>
        <w:tc>
          <w:tcPr>
            <w:tcW w:w="2871" w:type="dxa"/>
            <w:shd w:val="clear" w:color="auto" w:fill="F2F2F2" w:themeFill="background1" w:themeFillShade="F2"/>
          </w:tcPr>
          <w:p w14:paraId="400CDFE7" w14:textId="05407D12" w:rsidR="009014AC" w:rsidRDefault="009014AC" w:rsidP="009014AC">
            <w:pPr>
              <w:jc w:val="center"/>
              <w:rPr>
                <w:rFonts w:ascii="Calibri" w:eastAsia="SimSun" w:hAnsi="Calibri" w:cs="Times New Roman"/>
                <w:szCs w:val="20"/>
              </w:rPr>
            </w:pPr>
            <w:r>
              <w:rPr>
                <w:rFonts w:ascii="Calibri" w:eastAsia="SimSun" w:hAnsi="Calibri" w:cs="Times New Roman"/>
                <w:szCs w:val="20"/>
              </w:rPr>
              <w:t>Executive Director, Student &amp; Scholarly Services and Academic Registrar</w:t>
            </w:r>
          </w:p>
          <w:p w14:paraId="5EFE8FCE" w14:textId="24FFBE65" w:rsidR="009014AC" w:rsidRPr="00BC320C" w:rsidRDefault="0045217C" w:rsidP="009014AC">
            <w:pPr>
              <w:jc w:val="center"/>
              <w:rPr>
                <w:lang w:val="en-AU"/>
              </w:rPr>
            </w:pPr>
            <w:r>
              <w:rPr>
                <w:lang w:val="en-AU"/>
              </w:rPr>
              <w:t>Deputy Vice</w:t>
            </w:r>
            <w:r w:rsidR="002E0333">
              <w:rPr>
                <w:lang w:val="en-AU"/>
              </w:rPr>
              <w:t>-</w:t>
            </w:r>
            <w:r>
              <w:rPr>
                <w:lang w:val="en-AU"/>
              </w:rPr>
              <w:t>Chancellor (People &amp; Community)</w:t>
            </w:r>
          </w:p>
        </w:tc>
      </w:tr>
      <w:tr w:rsidR="00430B26" w:rsidRPr="00BC320C" w14:paraId="32ACAAF8" w14:textId="77777777" w:rsidTr="00367169">
        <w:trPr>
          <w:trHeight w:val="935"/>
        </w:trPr>
        <w:tc>
          <w:tcPr>
            <w:tcW w:w="1985" w:type="dxa"/>
            <w:shd w:val="clear" w:color="auto" w:fill="E2EFE5"/>
            <w:tcMar>
              <w:top w:w="57" w:type="dxa"/>
              <w:left w:w="57" w:type="dxa"/>
              <w:bottom w:w="57" w:type="dxa"/>
              <w:right w:w="85" w:type="dxa"/>
            </w:tcMar>
          </w:tcPr>
          <w:p w14:paraId="6ECF24A4" w14:textId="3D27444A" w:rsidR="00430B26" w:rsidRDefault="00430B26" w:rsidP="009014AC">
            <w:pPr>
              <w:rPr>
                <w:b/>
                <w:bCs/>
                <w:lang w:val="en-AU"/>
              </w:rPr>
            </w:pPr>
            <w:r>
              <w:rPr>
                <w:b/>
                <w:bCs/>
                <w:lang w:val="en-AU"/>
              </w:rPr>
              <w:t xml:space="preserve">4.2 </w:t>
            </w:r>
            <w:r w:rsidR="002D75B3">
              <w:rPr>
                <w:b/>
                <w:bCs/>
                <w:lang w:val="en-AU"/>
              </w:rPr>
              <w:t>–</w:t>
            </w:r>
            <w:r>
              <w:rPr>
                <w:b/>
                <w:bCs/>
                <w:lang w:val="en-AU"/>
              </w:rPr>
              <w:t xml:space="preserve"> </w:t>
            </w:r>
            <w:r w:rsidR="002D75B3">
              <w:rPr>
                <w:b/>
                <w:bCs/>
                <w:lang w:val="en-AU"/>
              </w:rPr>
              <w:t>Support for Academic Adjustment Plans (AAPs)</w:t>
            </w:r>
          </w:p>
        </w:tc>
        <w:tc>
          <w:tcPr>
            <w:tcW w:w="8402" w:type="dxa"/>
            <w:shd w:val="clear" w:color="auto" w:fill="auto"/>
            <w:tcMar>
              <w:top w:w="57" w:type="dxa"/>
              <w:left w:w="57" w:type="dxa"/>
              <w:bottom w:w="57" w:type="dxa"/>
              <w:right w:w="85" w:type="dxa"/>
            </w:tcMar>
          </w:tcPr>
          <w:p w14:paraId="27FC5FD0" w14:textId="7EF5141E" w:rsidR="00430B26" w:rsidRDefault="00084DD6" w:rsidP="00345340">
            <w:pPr>
              <w:spacing w:after="120"/>
            </w:pPr>
            <w:r>
              <w:t>S</w:t>
            </w:r>
            <w:r w:rsidR="000B5679">
              <w:t xml:space="preserve">upport </w:t>
            </w:r>
            <w:r>
              <w:t xml:space="preserve">provision of </w:t>
            </w:r>
            <w:r w:rsidR="000B5679">
              <w:t>Academic Adjustment Plans (AAPs)</w:t>
            </w:r>
            <w:r>
              <w:t xml:space="preserve"> by</w:t>
            </w:r>
            <w:r w:rsidR="000B5679">
              <w:t>:</w:t>
            </w:r>
          </w:p>
          <w:p w14:paraId="35620428" w14:textId="112A274E" w:rsidR="000B5679" w:rsidRDefault="00DB3DFA" w:rsidP="000B5679">
            <w:pPr>
              <w:pStyle w:val="ListParagraph"/>
              <w:numPr>
                <w:ilvl w:val="0"/>
                <w:numId w:val="27"/>
              </w:numPr>
            </w:pPr>
            <w:r>
              <w:t>Audit</w:t>
            </w:r>
            <w:r w:rsidR="008229E3">
              <w:t>ing</w:t>
            </w:r>
            <w:r>
              <w:t xml:space="preserve"> the implementation of AAPs and review eligibility requirements</w:t>
            </w:r>
          </w:p>
          <w:p w14:paraId="1BBD992C" w14:textId="3C51E8DE" w:rsidR="00DB3DFA" w:rsidRPr="00A412F4" w:rsidRDefault="00DB3DFA" w:rsidP="000B5679">
            <w:pPr>
              <w:pStyle w:val="ListParagraph"/>
              <w:numPr>
                <w:ilvl w:val="0"/>
                <w:numId w:val="27"/>
              </w:numPr>
            </w:pPr>
            <w:r>
              <w:t>Establish</w:t>
            </w:r>
            <w:r w:rsidR="008229E3">
              <w:t>ing</w:t>
            </w:r>
            <w:r>
              <w:t xml:space="preserve"> a transparent, </w:t>
            </w:r>
            <w:r w:rsidR="0045217C" w:rsidRPr="00A412F4">
              <w:rPr>
                <w:rFonts w:ascii="Calibri" w:eastAsia="Calibri" w:hAnsi="Calibri" w:cs="Calibri"/>
              </w:rPr>
              <w:t xml:space="preserve">timely and robust process of review for </w:t>
            </w:r>
            <w:r w:rsidR="00327DB3">
              <w:rPr>
                <w:rFonts w:ascii="Calibri" w:eastAsia="Calibri" w:hAnsi="Calibri" w:cs="Calibri"/>
              </w:rPr>
              <w:t>AAPs</w:t>
            </w:r>
            <w:r w:rsidR="0045217C" w:rsidRPr="00A412F4">
              <w:rPr>
                <w:rFonts w:ascii="Calibri" w:eastAsia="Calibri" w:hAnsi="Calibri" w:cs="Calibri"/>
              </w:rPr>
              <w:t xml:space="preserve"> denied by faculties.  </w:t>
            </w:r>
          </w:p>
        </w:tc>
        <w:tc>
          <w:tcPr>
            <w:tcW w:w="1487" w:type="dxa"/>
          </w:tcPr>
          <w:p w14:paraId="53A9EE8C" w14:textId="49BFFE33" w:rsidR="00430B26" w:rsidRPr="00116E1D" w:rsidRDefault="0045217C" w:rsidP="009014AC">
            <w:pPr>
              <w:jc w:val="center"/>
              <w:rPr>
                <w:lang w:val="en-AU"/>
              </w:rPr>
            </w:pPr>
            <w:r>
              <w:rPr>
                <w:lang w:val="en-AU"/>
              </w:rPr>
              <w:t>2023</w:t>
            </w:r>
          </w:p>
        </w:tc>
        <w:tc>
          <w:tcPr>
            <w:tcW w:w="2871" w:type="dxa"/>
            <w:shd w:val="clear" w:color="auto" w:fill="F2F2F2" w:themeFill="background1" w:themeFillShade="F2"/>
          </w:tcPr>
          <w:p w14:paraId="35351273" w14:textId="77777777" w:rsidR="0045217C" w:rsidRDefault="0045217C" w:rsidP="0045217C">
            <w:pPr>
              <w:jc w:val="center"/>
              <w:rPr>
                <w:rFonts w:ascii="Calibri" w:eastAsia="SimSun" w:hAnsi="Calibri" w:cs="Times New Roman"/>
                <w:szCs w:val="20"/>
              </w:rPr>
            </w:pPr>
            <w:r>
              <w:rPr>
                <w:rFonts w:ascii="Calibri" w:eastAsia="SimSun" w:hAnsi="Calibri" w:cs="Times New Roman"/>
                <w:szCs w:val="20"/>
              </w:rPr>
              <w:t>Executive Director, Student &amp; Scholarly Services and Academic Registrar</w:t>
            </w:r>
          </w:p>
          <w:p w14:paraId="3931483A" w14:textId="5011A649" w:rsidR="00430B26" w:rsidRDefault="0045217C" w:rsidP="0045217C">
            <w:pPr>
              <w:jc w:val="center"/>
              <w:rPr>
                <w:rFonts w:ascii="Calibri" w:eastAsia="SimSun" w:hAnsi="Calibri" w:cs="Times New Roman"/>
                <w:szCs w:val="20"/>
              </w:rPr>
            </w:pPr>
            <w:r>
              <w:rPr>
                <w:lang w:val="en-AU"/>
              </w:rPr>
              <w:t>Deans</w:t>
            </w:r>
          </w:p>
        </w:tc>
      </w:tr>
      <w:tr w:rsidR="009014AC" w:rsidRPr="00BC320C" w14:paraId="14938F9D" w14:textId="77777777" w:rsidTr="00367169">
        <w:trPr>
          <w:trHeight w:val="922"/>
        </w:trPr>
        <w:tc>
          <w:tcPr>
            <w:tcW w:w="1985" w:type="dxa"/>
            <w:shd w:val="clear" w:color="auto" w:fill="E2EFE5"/>
            <w:tcMar>
              <w:top w:w="57" w:type="dxa"/>
              <w:left w:w="57" w:type="dxa"/>
              <w:bottom w:w="57" w:type="dxa"/>
              <w:right w:w="85" w:type="dxa"/>
            </w:tcMar>
            <w:hideMark/>
          </w:tcPr>
          <w:p w14:paraId="3022A27E" w14:textId="21693A77" w:rsidR="009014AC" w:rsidRPr="00BC320C" w:rsidRDefault="009014AC" w:rsidP="009014AC">
            <w:r>
              <w:rPr>
                <w:b/>
                <w:bCs/>
                <w:lang w:val="en-AU"/>
              </w:rPr>
              <w:t>4</w:t>
            </w:r>
            <w:r w:rsidRPr="00BC320C">
              <w:rPr>
                <w:b/>
                <w:bCs/>
                <w:lang w:val="en-AU"/>
              </w:rPr>
              <w:t>.</w:t>
            </w:r>
            <w:r w:rsidR="00ED5176">
              <w:rPr>
                <w:b/>
                <w:bCs/>
                <w:lang w:val="en-AU"/>
              </w:rPr>
              <w:t>3</w:t>
            </w:r>
            <w:r w:rsidRPr="00BC320C">
              <w:rPr>
                <w:b/>
                <w:bCs/>
                <w:lang w:val="en-AU"/>
              </w:rPr>
              <w:t xml:space="preserve"> – </w:t>
            </w:r>
            <w:r>
              <w:rPr>
                <w:b/>
                <w:bCs/>
                <w:lang w:val="en-AU"/>
              </w:rPr>
              <w:t>Academic Equity Support in faculties</w:t>
            </w:r>
          </w:p>
        </w:tc>
        <w:tc>
          <w:tcPr>
            <w:tcW w:w="8402" w:type="dxa"/>
            <w:shd w:val="clear" w:color="auto" w:fill="auto"/>
            <w:tcMar>
              <w:top w:w="57" w:type="dxa"/>
              <w:left w:w="57" w:type="dxa"/>
              <w:bottom w:w="57" w:type="dxa"/>
              <w:right w:w="85" w:type="dxa"/>
            </w:tcMar>
            <w:hideMark/>
          </w:tcPr>
          <w:p w14:paraId="3BC083DB" w14:textId="6689E8BD" w:rsidR="009014AC" w:rsidRPr="005A76BF" w:rsidRDefault="009014AC" w:rsidP="009014AC">
            <w:r w:rsidRPr="005A76BF">
              <w:t xml:space="preserve">Establish an Academic Equity Support role in faculties as point of local contact for </w:t>
            </w:r>
            <w:r w:rsidR="00140279" w:rsidRPr="005A76BF">
              <w:t xml:space="preserve">informed </w:t>
            </w:r>
            <w:r w:rsidRPr="005A76BF">
              <w:t>advice and support for st</w:t>
            </w:r>
            <w:r w:rsidR="00140279" w:rsidRPr="005A76BF">
              <w:t>udents</w:t>
            </w:r>
            <w:r w:rsidRPr="005A76BF">
              <w:t xml:space="preserve"> and st</w:t>
            </w:r>
            <w:r w:rsidR="00140279" w:rsidRPr="005A76BF">
              <w:t>aff</w:t>
            </w:r>
            <w:r w:rsidRPr="005A76BF">
              <w:t xml:space="preserve"> on academic adjustments and related </w:t>
            </w:r>
            <w:r w:rsidR="002E158F" w:rsidRPr="005A76BF">
              <w:t xml:space="preserve">academic </w:t>
            </w:r>
            <w:r w:rsidRPr="005A76BF">
              <w:t>matters (e.g. upskill an academic staff member)</w:t>
            </w:r>
            <w:r w:rsidR="00B5571F">
              <w:t>.</w:t>
            </w:r>
          </w:p>
        </w:tc>
        <w:tc>
          <w:tcPr>
            <w:tcW w:w="1487" w:type="dxa"/>
          </w:tcPr>
          <w:p w14:paraId="638F385B" w14:textId="77777777" w:rsidR="009014AC" w:rsidRPr="005A76BF" w:rsidRDefault="009014AC" w:rsidP="009014AC">
            <w:pPr>
              <w:jc w:val="center"/>
              <w:rPr>
                <w:lang w:val="en-AU"/>
              </w:rPr>
            </w:pPr>
            <w:r w:rsidRPr="005A76BF">
              <w:rPr>
                <w:lang w:val="en-AU"/>
              </w:rPr>
              <w:t>2023</w:t>
            </w:r>
          </w:p>
        </w:tc>
        <w:tc>
          <w:tcPr>
            <w:tcW w:w="2871" w:type="dxa"/>
            <w:shd w:val="clear" w:color="auto" w:fill="F2F2F2" w:themeFill="background1" w:themeFillShade="F2"/>
          </w:tcPr>
          <w:p w14:paraId="008602D5" w14:textId="38BA991B" w:rsidR="009014AC" w:rsidRDefault="009014AC" w:rsidP="009014AC">
            <w:pPr>
              <w:jc w:val="center"/>
              <w:rPr>
                <w:lang w:val="en-AU"/>
              </w:rPr>
            </w:pPr>
            <w:r>
              <w:rPr>
                <w:lang w:val="en-AU"/>
              </w:rPr>
              <w:t>Deputy Vice</w:t>
            </w:r>
            <w:r w:rsidR="002E0333">
              <w:rPr>
                <w:lang w:val="en-AU"/>
              </w:rPr>
              <w:t>-</w:t>
            </w:r>
            <w:r>
              <w:rPr>
                <w:lang w:val="en-AU"/>
              </w:rPr>
              <w:t xml:space="preserve">Chancellor </w:t>
            </w:r>
            <w:r w:rsidR="00DC6FF2">
              <w:rPr>
                <w:lang w:val="en-AU"/>
              </w:rPr>
              <w:t>(</w:t>
            </w:r>
            <w:r>
              <w:rPr>
                <w:lang w:val="en-AU"/>
              </w:rPr>
              <w:t>Academic</w:t>
            </w:r>
            <w:r w:rsidR="00DC6FF2">
              <w:rPr>
                <w:lang w:val="en-AU"/>
              </w:rPr>
              <w:t>)</w:t>
            </w:r>
          </w:p>
          <w:p w14:paraId="0871E60F" w14:textId="669E7C66" w:rsidR="009014AC" w:rsidRPr="00BC320C" w:rsidRDefault="009014AC" w:rsidP="00943EEB">
            <w:pPr>
              <w:jc w:val="center"/>
              <w:rPr>
                <w:lang w:val="en-AU"/>
              </w:rPr>
            </w:pPr>
            <w:r>
              <w:rPr>
                <w:lang w:val="en-AU"/>
              </w:rPr>
              <w:t>Deputy Vice</w:t>
            </w:r>
            <w:r w:rsidR="002E0333">
              <w:rPr>
                <w:lang w:val="en-AU"/>
              </w:rPr>
              <w:t>-</w:t>
            </w:r>
            <w:r>
              <w:rPr>
                <w:lang w:val="en-AU"/>
              </w:rPr>
              <w:t xml:space="preserve">Chancellor </w:t>
            </w:r>
            <w:r w:rsidR="00DC6FF2">
              <w:rPr>
                <w:lang w:val="en-AU"/>
              </w:rPr>
              <w:t>(</w:t>
            </w:r>
            <w:r>
              <w:rPr>
                <w:lang w:val="en-AU"/>
              </w:rPr>
              <w:t>People and Community</w:t>
            </w:r>
            <w:r w:rsidR="00DC6FF2">
              <w:rPr>
                <w:lang w:val="en-AU"/>
              </w:rPr>
              <w:t>)</w:t>
            </w:r>
          </w:p>
        </w:tc>
      </w:tr>
      <w:tr w:rsidR="009014AC" w14:paraId="673FFFF7" w14:textId="77777777" w:rsidTr="00367169">
        <w:trPr>
          <w:trHeight w:val="317"/>
        </w:trPr>
        <w:tc>
          <w:tcPr>
            <w:tcW w:w="1985" w:type="dxa"/>
            <w:shd w:val="clear" w:color="auto" w:fill="E2EFE5"/>
            <w:tcMar>
              <w:top w:w="57" w:type="dxa"/>
              <w:left w:w="57" w:type="dxa"/>
              <w:bottom w:w="57" w:type="dxa"/>
              <w:right w:w="85" w:type="dxa"/>
            </w:tcMar>
          </w:tcPr>
          <w:p w14:paraId="7BF93C6B" w14:textId="4B7F8CA4" w:rsidR="009014AC" w:rsidRPr="00BC320C" w:rsidRDefault="009014AC" w:rsidP="009014AC">
            <w:pPr>
              <w:rPr>
                <w:b/>
                <w:bCs/>
                <w:lang w:val="en-AU"/>
              </w:rPr>
            </w:pPr>
            <w:r>
              <w:rPr>
                <w:b/>
                <w:bCs/>
                <w:lang w:val="en-AU"/>
              </w:rPr>
              <w:t>4</w:t>
            </w:r>
            <w:r w:rsidRPr="00BC320C">
              <w:rPr>
                <w:b/>
                <w:bCs/>
                <w:lang w:val="en-AU"/>
              </w:rPr>
              <w:t>.</w:t>
            </w:r>
            <w:r w:rsidR="00ED5176">
              <w:rPr>
                <w:b/>
                <w:bCs/>
                <w:lang w:val="en-AU"/>
              </w:rPr>
              <w:t>4</w:t>
            </w:r>
            <w:r>
              <w:rPr>
                <w:b/>
                <w:bCs/>
                <w:lang w:val="en-AU"/>
              </w:rPr>
              <w:t xml:space="preserve"> </w:t>
            </w:r>
            <w:r w:rsidRPr="00BC320C">
              <w:rPr>
                <w:b/>
                <w:bCs/>
                <w:lang w:val="en-AU"/>
              </w:rPr>
              <w:t>–</w:t>
            </w:r>
            <w:r>
              <w:rPr>
                <w:b/>
                <w:bCs/>
                <w:lang w:val="en-AU"/>
              </w:rPr>
              <w:t xml:space="preserve"> Student access and training on inclusive </w:t>
            </w:r>
            <w:r w:rsidR="00507832">
              <w:rPr>
                <w:b/>
                <w:bCs/>
                <w:lang w:val="en-AU"/>
              </w:rPr>
              <w:t>technologies</w:t>
            </w:r>
          </w:p>
        </w:tc>
        <w:tc>
          <w:tcPr>
            <w:tcW w:w="8402" w:type="dxa"/>
            <w:shd w:val="clear" w:color="auto" w:fill="auto"/>
            <w:tcMar>
              <w:top w:w="57" w:type="dxa"/>
              <w:left w:w="57" w:type="dxa"/>
              <w:bottom w:w="57" w:type="dxa"/>
              <w:right w:w="85" w:type="dxa"/>
            </w:tcMar>
          </w:tcPr>
          <w:p w14:paraId="238FD287" w14:textId="022D544E" w:rsidR="009014AC" w:rsidRPr="00D56CB3" w:rsidRDefault="009014AC" w:rsidP="009014AC">
            <w:pPr>
              <w:rPr>
                <w:rFonts w:ascii="Calibri" w:eastAsia="SimSun" w:hAnsi="Calibri" w:cs="Times New Roman"/>
              </w:rPr>
            </w:pPr>
            <w:r w:rsidRPr="00D56CB3">
              <w:rPr>
                <w:rFonts w:ascii="Calibri" w:eastAsia="Calibri" w:hAnsi="Calibri" w:cs="Calibri"/>
              </w:rPr>
              <w:t>Provide students with disabilit</w:t>
            </w:r>
            <w:r w:rsidR="00B466DE">
              <w:rPr>
                <w:rFonts w:ascii="Calibri" w:eastAsia="Calibri" w:hAnsi="Calibri" w:cs="Calibri"/>
              </w:rPr>
              <w:t>y</w:t>
            </w:r>
            <w:r w:rsidRPr="00D56CB3">
              <w:rPr>
                <w:rFonts w:ascii="Calibri" w:eastAsia="Calibri" w:hAnsi="Calibri" w:cs="Calibri"/>
              </w:rPr>
              <w:t xml:space="preserve"> with information about and access to training and support to use inclusive technology and software.</w:t>
            </w:r>
          </w:p>
        </w:tc>
        <w:tc>
          <w:tcPr>
            <w:tcW w:w="1487" w:type="dxa"/>
          </w:tcPr>
          <w:p w14:paraId="5F8C500B" w14:textId="77777777" w:rsidR="009014AC" w:rsidRDefault="009014AC" w:rsidP="009014AC">
            <w:pPr>
              <w:jc w:val="center"/>
              <w:rPr>
                <w:lang w:val="en-AU"/>
              </w:rPr>
            </w:pPr>
            <w:r>
              <w:rPr>
                <w:rFonts w:ascii="Calibri" w:eastAsia="SimSun" w:hAnsi="Calibri" w:cs="Times New Roman"/>
                <w:szCs w:val="18"/>
              </w:rPr>
              <w:t>2023</w:t>
            </w:r>
          </w:p>
        </w:tc>
        <w:tc>
          <w:tcPr>
            <w:tcW w:w="2871" w:type="dxa"/>
            <w:shd w:val="clear" w:color="auto" w:fill="F2F2F2" w:themeFill="background1" w:themeFillShade="F2"/>
          </w:tcPr>
          <w:p w14:paraId="24E7AF62" w14:textId="0379E35D" w:rsidR="009014AC" w:rsidRPr="00D56CB3" w:rsidRDefault="009014AC" w:rsidP="009014AC">
            <w:pPr>
              <w:jc w:val="center"/>
              <w:rPr>
                <w:rFonts w:ascii="Calibri" w:eastAsia="SimSun" w:hAnsi="Calibri" w:cs="Times New Roman"/>
                <w:szCs w:val="20"/>
              </w:rPr>
            </w:pPr>
            <w:r>
              <w:rPr>
                <w:rFonts w:ascii="Calibri" w:eastAsia="SimSun" w:hAnsi="Calibri" w:cs="Times New Roman"/>
                <w:szCs w:val="20"/>
              </w:rPr>
              <w:t>Executive Director, Student &amp; Scholarly Services and Academic Registrar</w:t>
            </w:r>
          </w:p>
        </w:tc>
      </w:tr>
      <w:tr w:rsidR="009014AC" w14:paraId="3C829ACB" w14:textId="77777777" w:rsidTr="00367169">
        <w:trPr>
          <w:trHeight w:val="317"/>
        </w:trPr>
        <w:tc>
          <w:tcPr>
            <w:tcW w:w="1985" w:type="dxa"/>
            <w:shd w:val="clear" w:color="auto" w:fill="E2EFE5"/>
            <w:tcMar>
              <w:top w:w="57" w:type="dxa"/>
              <w:left w:w="57" w:type="dxa"/>
              <w:bottom w:w="57" w:type="dxa"/>
              <w:right w:w="85" w:type="dxa"/>
            </w:tcMar>
          </w:tcPr>
          <w:p w14:paraId="43548579" w14:textId="0BBBD42A" w:rsidR="009014AC" w:rsidRDefault="009014AC" w:rsidP="009014AC">
            <w:pPr>
              <w:rPr>
                <w:b/>
                <w:bCs/>
                <w:lang w:val="en-AU"/>
              </w:rPr>
            </w:pPr>
            <w:r>
              <w:rPr>
                <w:b/>
                <w:bCs/>
                <w:lang w:val="en-AU"/>
              </w:rPr>
              <w:lastRenderedPageBreak/>
              <w:t>4.</w:t>
            </w:r>
            <w:r w:rsidR="00ED5176">
              <w:rPr>
                <w:b/>
                <w:bCs/>
                <w:lang w:val="en-AU"/>
              </w:rPr>
              <w:t>5</w:t>
            </w:r>
            <w:r>
              <w:rPr>
                <w:b/>
                <w:bCs/>
                <w:lang w:val="en-AU"/>
              </w:rPr>
              <w:t xml:space="preserve"> – Check-ins for students with disabilit</w:t>
            </w:r>
            <w:r w:rsidR="00B466DE">
              <w:rPr>
                <w:b/>
                <w:bCs/>
                <w:lang w:val="en-AU"/>
              </w:rPr>
              <w:t>y</w:t>
            </w:r>
          </w:p>
        </w:tc>
        <w:tc>
          <w:tcPr>
            <w:tcW w:w="8402" w:type="dxa"/>
            <w:shd w:val="clear" w:color="auto" w:fill="auto"/>
            <w:tcMar>
              <w:top w:w="57" w:type="dxa"/>
              <w:left w:w="57" w:type="dxa"/>
              <w:bottom w:w="57" w:type="dxa"/>
              <w:right w:w="85" w:type="dxa"/>
            </w:tcMar>
          </w:tcPr>
          <w:p w14:paraId="16813AEB" w14:textId="77777777" w:rsidR="009014AC" w:rsidRDefault="009014AC" w:rsidP="003E521B">
            <w:pPr>
              <w:spacing w:after="120"/>
            </w:pPr>
            <w:r w:rsidRPr="00415CC2">
              <w:t xml:space="preserve">Establish </w:t>
            </w:r>
            <w:r w:rsidR="0023074D">
              <w:t>a system to:</w:t>
            </w:r>
          </w:p>
          <w:p w14:paraId="51E3B3F7" w14:textId="19329662" w:rsidR="0023074D" w:rsidRPr="0023074D" w:rsidRDefault="0023074D" w:rsidP="0023074D">
            <w:pPr>
              <w:pStyle w:val="ListParagraph"/>
              <w:numPr>
                <w:ilvl w:val="0"/>
                <w:numId w:val="26"/>
              </w:numPr>
              <w:rPr>
                <w:rFonts w:ascii="Calibri" w:eastAsia="SimSun" w:hAnsi="Calibri" w:cs="Times New Roman"/>
                <w:b/>
                <w:bCs/>
              </w:rPr>
            </w:pPr>
            <w:r>
              <w:rPr>
                <w:rFonts w:ascii="Calibri" w:eastAsia="SimSun" w:hAnsi="Calibri" w:cs="Times New Roman"/>
              </w:rPr>
              <w:t xml:space="preserve">Establish outreach via </w:t>
            </w:r>
            <w:r w:rsidR="00481DE5">
              <w:rPr>
                <w:rFonts w:ascii="Calibri" w:eastAsia="SimSun" w:hAnsi="Calibri" w:cs="Times New Roman"/>
              </w:rPr>
              <w:t>Student Equity and Disability Services (</w:t>
            </w:r>
            <w:r>
              <w:rPr>
                <w:rFonts w:ascii="Calibri" w:eastAsia="SimSun" w:hAnsi="Calibri" w:cs="Times New Roman"/>
              </w:rPr>
              <w:t>SEDS</w:t>
            </w:r>
            <w:r w:rsidR="00481DE5">
              <w:rPr>
                <w:rFonts w:ascii="Calibri" w:eastAsia="SimSun" w:hAnsi="Calibri" w:cs="Times New Roman"/>
              </w:rPr>
              <w:t>)</w:t>
            </w:r>
            <w:r>
              <w:rPr>
                <w:rFonts w:ascii="Calibri" w:eastAsia="SimSun" w:hAnsi="Calibri" w:cs="Times New Roman"/>
              </w:rPr>
              <w:t xml:space="preserve"> to students with disabilit</w:t>
            </w:r>
            <w:r w:rsidR="00B466DE">
              <w:rPr>
                <w:rFonts w:ascii="Calibri" w:eastAsia="SimSun" w:hAnsi="Calibri" w:cs="Times New Roman"/>
              </w:rPr>
              <w:t>y</w:t>
            </w:r>
            <w:r>
              <w:rPr>
                <w:rFonts w:ascii="Calibri" w:eastAsia="SimSun" w:hAnsi="Calibri" w:cs="Times New Roman"/>
              </w:rPr>
              <w:t>, to ensure that they are well-supported in the implementation of their academic adjustment plans</w:t>
            </w:r>
          </w:p>
          <w:p w14:paraId="1C91526B" w14:textId="55261496" w:rsidR="0023074D" w:rsidRPr="007E3CFF" w:rsidRDefault="007E3CFF" w:rsidP="0023074D">
            <w:pPr>
              <w:pStyle w:val="ListParagraph"/>
              <w:numPr>
                <w:ilvl w:val="0"/>
                <w:numId w:val="26"/>
              </w:numPr>
              <w:rPr>
                <w:rFonts w:ascii="Calibri" w:eastAsia="SimSun" w:hAnsi="Calibri" w:cs="Times New Roman"/>
              </w:rPr>
            </w:pPr>
            <w:r w:rsidRPr="007E3CFF">
              <w:rPr>
                <w:rFonts w:ascii="Calibri" w:eastAsia="SimSun" w:hAnsi="Calibri" w:cs="Times New Roman"/>
              </w:rPr>
              <w:t xml:space="preserve">Enable </w:t>
            </w:r>
            <w:r>
              <w:rPr>
                <w:rFonts w:ascii="Calibri" w:eastAsia="SimSun" w:hAnsi="Calibri" w:cs="Times New Roman"/>
              </w:rPr>
              <w:t>faculty oversight of compliance with academic adjustment</w:t>
            </w:r>
            <w:r w:rsidR="000D0A94">
              <w:rPr>
                <w:rFonts w:ascii="Calibri" w:eastAsia="SimSun" w:hAnsi="Calibri" w:cs="Times New Roman"/>
              </w:rPr>
              <w:t xml:space="preserve"> plan</w:t>
            </w:r>
            <w:r w:rsidR="00F14074">
              <w:rPr>
                <w:rFonts w:ascii="Calibri" w:eastAsia="SimSun" w:hAnsi="Calibri" w:cs="Times New Roman"/>
              </w:rPr>
              <w:t>s</w:t>
            </w:r>
            <w:r w:rsidR="000D0A94">
              <w:rPr>
                <w:rFonts w:ascii="Calibri" w:eastAsia="SimSun" w:hAnsi="Calibri" w:cs="Times New Roman"/>
              </w:rPr>
              <w:t xml:space="preserve">. </w:t>
            </w:r>
          </w:p>
        </w:tc>
        <w:tc>
          <w:tcPr>
            <w:tcW w:w="1487" w:type="dxa"/>
          </w:tcPr>
          <w:p w14:paraId="0E139616" w14:textId="27B349AE" w:rsidR="009014AC" w:rsidRDefault="009014AC" w:rsidP="009014AC">
            <w:pPr>
              <w:jc w:val="center"/>
              <w:rPr>
                <w:rFonts w:ascii="Calibri" w:eastAsia="SimSun" w:hAnsi="Calibri" w:cs="Times New Roman"/>
                <w:szCs w:val="18"/>
              </w:rPr>
            </w:pPr>
            <w:r>
              <w:rPr>
                <w:rFonts w:ascii="Calibri" w:eastAsia="SimSun" w:hAnsi="Calibri" w:cs="Times New Roman"/>
                <w:szCs w:val="18"/>
              </w:rPr>
              <w:t>2024</w:t>
            </w:r>
          </w:p>
        </w:tc>
        <w:tc>
          <w:tcPr>
            <w:tcW w:w="2871" w:type="dxa"/>
            <w:shd w:val="clear" w:color="auto" w:fill="F2F2F2" w:themeFill="background1" w:themeFillShade="F2"/>
          </w:tcPr>
          <w:p w14:paraId="412DD38D" w14:textId="3ECCDB0C" w:rsidR="009014AC" w:rsidRDefault="009014AC" w:rsidP="009014AC">
            <w:pPr>
              <w:jc w:val="center"/>
              <w:rPr>
                <w:lang w:val="en-AU"/>
              </w:rPr>
            </w:pPr>
            <w:r>
              <w:rPr>
                <w:lang w:val="en-AU"/>
              </w:rPr>
              <w:t>Deputy Vice</w:t>
            </w:r>
            <w:r w:rsidR="002E0333">
              <w:rPr>
                <w:lang w:val="en-AU"/>
              </w:rPr>
              <w:t>-</w:t>
            </w:r>
            <w:r>
              <w:rPr>
                <w:lang w:val="en-AU"/>
              </w:rPr>
              <w:t xml:space="preserve">Chancellor </w:t>
            </w:r>
            <w:r w:rsidR="00DC6FF2">
              <w:rPr>
                <w:lang w:val="en-AU"/>
              </w:rPr>
              <w:t>(</w:t>
            </w:r>
            <w:r>
              <w:rPr>
                <w:lang w:val="en-AU"/>
              </w:rPr>
              <w:t>Academic</w:t>
            </w:r>
            <w:r w:rsidR="00DC6FF2">
              <w:rPr>
                <w:lang w:val="en-AU"/>
              </w:rPr>
              <w:t>)</w:t>
            </w:r>
          </w:p>
          <w:p w14:paraId="20717AD9" w14:textId="59ED6C63" w:rsidR="009014AC" w:rsidRDefault="009014AC" w:rsidP="009014AC">
            <w:pPr>
              <w:jc w:val="center"/>
              <w:rPr>
                <w:rFonts w:ascii="Calibri" w:eastAsia="SimSun" w:hAnsi="Calibri" w:cs="Times New Roman"/>
                <w:szCs w:val="18"/>
              </w:rPr>
            </w:pPr>
            <w:r>
              <w:rPr>
                <w:rFonts w:ascii="Calibri" w:eastAsia="SimSun" w:hAnsi="Calibri" w:cs="Times New Roman"/>
                <w:szCs w:val="20"/>
              </w:rPr>
              <w:t>Executive Director, Student &amp; Scholarly Services and Academic Registrar</w:t>
            </w:r>
          </w:p>
        </w:tc>
      </w:tr>
      <w:tr w:rsidR="009014AC" w:rsidRPr="00BC320C" w14:paraId="56189E53" w14:textId="77777777" w:rsidTr="00367169">
        <w:trPr>
          <w:trHeight w:val="796"/>
        </w:trPr>
        <w:tc>
          <w:tcPr>
            <w:tcW w:w="1985" w:type="dxa"/>
            <w:shd w:val="clear" w:color="auto" w:fill="C5DFCC"/>
            <w:tcMar>
              <w:top w:w="57" w:type="dxa"/>
              <w:left w:w="57" w:type="dxa"/>
              <w:bottom w:w="57" w:type="dxa"/>
              <w:right w:w="85" w:type="dxa"/>
            </w:tcMar>
          </w:tcPr>
          <w:p w14:paraId="7A6249EE" w14:textId="77777777" w:rsidR="009014AC" w:rsidRDefault="009014AC" w:rsidP="009014AC">
            <w:pPr>
              <w:rPr>
                <w:b/>
                <w:bCs/>
                <w:lang w:val="en-AU"/>
              </w:rPr>
            </w:pPr>
          </w:p>
        </w:tc>
        <w:tc>
          <w:tcPr>
            <w:tcW w:w="8402" w:type="dxa"/>
            <w:shd w:val="clear" w:color="auto" w:fill="C5DFCC"/>
            <w:tcMar>
              <w:top w:w="57" w:type="dxa"/>
              <w:left w:w="57" w:type="dxa"/>
              <w:bottom w:w="57" w:type="dxa"/>
              <w:right w:w="85" w:type="dxa"/>
            </w:tcMar>
            <w:vAlign w:val="center"/>
          </w:tcPr>
          <w:p w14:paraId="27BB1F8E" w14:textId="55B61812" w:rsidR="009014AC" w:rsidRPr="005A4E20" w:rsidRDefault="009014AC" w:rsidP="00F92330">
            <w:pPr>
              <w:jc w:val="center"/>
            </w:pPr>
            <w:r>
              <w:rPr>
                <w:b/>
                <w:bCs/>
                <w:sz w:val="24"/>
                <w:szCs w:val="24"/>
              </w:rPr>
              <w:t>STUDENT RECRUITMENT AND EMPLOYABILITY</w:t>
            </w:r>
          </w:p>
        </w:tc>
        <w:tc>
          <w:tcPr>
            <w:tcW w:w="1487" w:type="dxa"/>
            <w:vAlign w:val="center"/>
          </w:tcPr>
          <w:p w14:paraId="50B65A3C" w14:textId="14382E0B" w:rsidR="009014AC" w:rsidRDefault="0074203C" w:rsidP="00F92330">
            <w:pPr>
              <w:spacing w:after="0"/>
              <w:jc w:val="center"/>
              <w:rPr>
                <w:lang w:val="en-AU"/>
              </w:rPr>
            </w:pPr>
            <w:r>
              <w:rPr>
                <w:b/>
                <w:bCs/>
                <w:i/>
                <w:iCs/>
                <w:lang w:val="en-AU"/>
              </w:rPr>
              <w:t>Indicative t</w:t>
            </w:r>
            <w:r w:rsidR="009014AC">
              <w:rPr>
                <w:b/>
                <w:bCs/>
                <w:i/>
                <w:iCs/>
                <w:lang w:val="en-AU"/>
              </w:rPr>
              <w:t>imeline to commence</w:t>
            </w:r>
          </w:p>
        </w:tc>
        <w:tc>
          <w:tcPr>
            <w:tcW w:w="2871" w:type="dxa"/>
            <w:shd w:val="clear" w:color="auto" w:fill="F2F2F2" w:themeFill="background1" w:themeFillShade="F2"/>
            <w:vAlign w:val="center"/>
          </w:tcPr>
          <w:p w14:paraId="7EB08CDB" w14:textId="012B57F1" w:rsidR="009014AC" w:rsidRDefault="009014AC" w:rsidP="00F92330">
            <w:pPr>
              <w:jc w:val="center"/>
              <w:rPr>
                <w:lang w:val="en-AU"/>
              </w:rPr>
            </w:pPr>
            <w:r>
              <w:rPr>
                <w:b/>
                <w:bCs/>
                <w:i/>
                <w:iCs/>
                <w:lang w:val="en-AU"/>
              </w:rPr>
              <w:t>Accountable</w:t>
            </w:r>
            <w:r w:rsidRPr="004B37A3">
              <w:rPr>
                <w:b/>
                <w:bCs/>
                <w:i/>
                <w:iCs/>
                <w:lang w:val="en-AU"/>
              </w:rPr>
              <w:t xml:space="preserve"> for implementation</w:t>
            </w:r>
          </w:p>
        </w:tc>
      </w:tr>
      <w:tr w:rsidR="009014AC" w:rsidRPr="00BC320C" w14:paraId="25A6CB33" w14:textId="77777777" w:rsidTr="00367169">
        <w:trPr>
          <w:trHeight w:val="796"/>
        </w:trPr>
        <w:tc>
          <w:tcPr>
            <w:tcW w:w="1985" w:type="dxa"/>
            <w:shd w:val="clear" w:color="auto" w:fill="E2EFE5"/>
            <w:tcMar>
              <w:top w:w="57" w:type="dxa"/>
              <w:left w:w="57" w:type="dxa"/>
              <w:bottom w:w="57" w:type="dxa"/>
              <w:right w:w="85" w:type="dxa"/>
            </w:tcMar>
            <w:hideMark/>
          </w:tcPr>
          <w:p w14:paraId="169BF52C" w14:textId="5214E9B1" w:rsidR="009014AC" w:rsidRPr="00BC320C" w:rsidRDefault="009014AC" w:rsidP="009014AC">
            <w:r>
              <w:rPr>
                <w:b/>
                <w:bCs/>
                <w:lang w:val="en-AU"/>
              </w:rPr>
              <w:t>4.</w:t>
            </w:r>
            <w:r w:rsidR="00ED5176">
              <w:rPr>
                <w:b/>
                <w:bCs/>
                <w:lang w:val="en-AU"/>
              </w:rPr>
              <w:t>6</w:t>
            </w:r>
            <w:r>
              <w:rPr>
                <w:b/>
                <w:bCs/>
                <w:lang w:val="en-AU"/>
              </w:rPr>
              <w:t xml:space="preserve"> – Entry pathways for students with disabilit</w:t>
            </w:r>
            <w:r w:rsidR="00B466DE">
              <w:rPr>
                <w:b/>
                <w:bCs/>
                <w:lang w:val="en-AU"/>
              </w:rPr>
              <w:t>y</w:t>
            </w:r>
          </w:p>
        </w:tc>
        <w:tc>
          <w:tcPr>
            <w:tcW w:w="8402" w:type="dxa"/>
            <w:shd w:val="clear" w:color="auto" w:fill="auto"/>
            <w:tcMar>
              <w:top w:w="57" w:type="dxa"/>
              <w:left w:w="57" w:type="dxa"/>
              <w:bottom w:w="57" w:type="dxa"/>
              <w:right w:w="85" w:type="dxa"/>
            </w:tcMar>
            <w:hideMark/>
          </w:tcPr>
          <w:p w14:paraId="78196495" w14:textId="4664194B" w:rsidR="009014AC" w:rsidRPr="005A4E20" w:rsidRDefault="009014AC" w:rsidP="009014AC">
            <w:pPr>
              <w:rPr>
                <w:bCs/>
                <w:color w:val="000000" w:themeColor="text1"/>
              </w:rPr>
            </w:pPr>
            <w:r w:rsidRPr="005A4E20">
              <w:t>Review student entry pathways and implement process changes to reduce barriers to participation for students with disabilit</w:t>
            </w:r>
            <w:r w:rsidR="00B466DE">
              <w:t>y</w:t>
            </w:r>
            <w:r w:rsidRPr="005A4E20">
              <w:t xml:space="preserve">. </w:t>
            </w:r>
          </w:p>
        </w:tc>
        <w:tc>
          <w:tcPr>
            <w:tcW w:w="1487" w:type="dxa"/>
          </w:tcPr>
          <w:p w14:paraId="0134B2E6" w14:textId="3EB16DD9" w:rsidR="009014AC" w:rsidRPr="00FA63D6" w:rsidRDefault="009014AC" w:rsidP="009014AC">
            <w:pPr>
              <w:jc w:val="center"/>
              <w:rPr>
                <w:lang w:val="en-AU"/>
              </w:rPr>
            </w:pPr>
            <w:r>
              <w:rPr>
                <w:lang w:val="en-AU"/>
              </w:rPr>
              <w:t>2023</w:t>
            </w:r>
          </w:p>
        </w:tc>
        <w:tc>
          <w:tcPr>
            <w:tcW w:w="2871" w:type="dxa"/>
            <w:shd w:val="clear" w:color="auto" w:fill="F2F2F2" w:themeFill="background1" w:themeFillShade="F2"/>
          </w:tcPr>
          <w:p w14:paraId="772834C7" w14:textId="10EDB3DA" w:rsidR="009014AC" w:rsidRDefault="009014AC" w:rsidP="009014AC">
            <w:pPr>
              <w:jc w:val="center"/>
              <w:rPr>
                <w:lang w:val="en-AU"/>
              </w:rPr>
            </w:pPr>
            <w:r>
              <w:rPr>
                <w:lang w:val="en-AU"/>
              </w:rPr>
              <w:t xml:space="preserve">Deputy Vice-Chancellor </w:t>
            </w:r>
            <w:r w:rsidR="00CF20E0">
              <w:rPr>
                <w:lang w:val="en-AU"/>
              </w:rPr>
              <w:t>(</w:t>
            </w:r>
            <w:r>
              <w:rPr>
                <w:lang w:val="en-AU"/>
              </w:rPr>
              <w:t>Academic</w:t>
            </w:r>
            <w:r w:rsidR="00CF20E0">
              <w:rPr>
                <w:lang w:val="en-AU"/>
              </w:rPr>
              <w:t>)</w:t>
            </w:r>
          </w:p>
          <w:p w14:paraId="5DBFE450" w14:textId="5C7DBCB7" w:rsidR="009014AC" w:rsidRPr="00BC320C" w:rsidRDefault="009014AC" w:rsidP="009014AC">
            <w:pPr>
              <w:jc w:val="center"/>
              <w:rPr>
                <w:lang w:val="en-AU"/>
              </w:rPr>
            </w:pPr>
            <w:r>
              <w:rPr>
                <w:rFonts w:ascii="Calibri" w:eastAsia="SimSun" w:hAnsi="Calibri" w:cs="Times New Roman"/>
                <w:szCs w:val="20"/>
              </w:rPr>
              <w:t>Executive Director, Student &amp; Scholarly Services and Academic Registrar</w:t>
            </w:r>
          </w:p>
        </w:tc>
      </w:tr>
      <w:tr w:rsidR="009014AC" w:rsidRPr="00BC320C" w14:paraId="48772D11" w14:textId="77777777" w:rsidTr="00367169">
        <w:trPr>
          <w:trHeight w:val="411"/>
        </w:trPr>
        <w:tc>
          <w:tcPr>
            <w:tcW w:w="1985" w:type="dxa"/>
            <w:shd w:val="clear" w:color="auto" w:fill="E2EFE5"/>
            <w:tcMar>
              <w:top w:w="57" w:type="dxa"/>
              <w:left w:w="57" w:type="dxa"/>
              <w:bottom w:w="57" w:type="dxa"/>
              <w:right w:w="85" w:type="dxa"/>
            </w:tcMar>
            <w:hideMark/>
          </w:tcPr>
          <w:p w14:paraId="0ACE2551" w14:textId="648F5902" w:rsidR="009014AC" w:rsidRPr="00BC320C" w:rsidRDefault="009014AC" w:rsidP="009014AC">
            <w:r>
              <w:rPr>
                <w:b/>
                <w:bCs/>
                <w:lang w:val="en-AU"/>
              </w:rPr>
              <w:t>4</w:t>
            </w:r>
            <w:r w:rsidRPr="00BC320C">
              <w:rPr>
                <w:b/>
                <w:bCs/>
                <w:lang w:val="en-AU"/>
              </w:rPr>
              <w:t>.</w:t>
            </w:r>
            <w:r w:rsidR="00ED5176">
              <w:rPr>
                <w:b/>
                <w:bCs/>
                <w:lang w:val="en-AU"/>
              </w:rPr>
              <w:t>7</w:t>
            </w:r>
            <w:r w:rsidRPr="00BC320C">
              <w:rPr>
                <w:b/>
                <w:bCs/>
                <w:lang w:val="en-AU"/>
              </w:rPr>
              <w:t xml:space="preserve"> – </w:t>
            </w:r>
            <w:r>
              <w:rPr>
                <w:b/>
                <w:bCs/>
                <w:lang w:val="en-AU"/>
              </w:rPr>
              <w:t>Scholarships for students with disabilit</w:t>
            </w:r>
            <w:r w:rsidR="00B466DE">
              <w:rPr>
                <w:b/>
                <w:bCs/>
                <w:lang w:val="en-AU"/>
              </w:rPr>
              <w:t>y</w:t>
            </w:r>
          </w:p>
        </w:tc>
        <w:tc>
          <w:tcPr>
            <w:tcW w:w="8402" w:type="dxa"/>
            <w:shd w:val="clear" w:color="auto" w:fill="auto"/>
            <w:tcMar>
              <w:top w:w="57" w:type="dxa"/>
              <w:left w:w="57" w:type="dxa"/>
              <w:bottom w:w="57" w:type="dxa"/>
              <w:right w:w="85" w:type="dxa"/>
            </w:tcMar>
            <w:hideMark/>
          </w:tcPr>
          <w:p w14:paraId="217A5A56" w14:textId="5534D309" w:rsidR="009014AC" w:rsidRPr="009C29E7" w:rsidRDefault="009014AC" w:rsidP="009014AC">
            <w:r w:rsidRPr="009C29E7">
              <w:t>Review the availability and communication of scholarships, and scope opportunities to increase targeted scholarship programs for current students with disabilit</w:t>
            </w:r>
            <w:r w:rsidR="00B466DE">
              <w:t>y</w:t>
            </w:r>
            <w:r w:rsidRPr="009C29E7">
              <w:t xml:space="preserve"> (at both </w:t>
            </w:r>
            <w:r>
              <w:t>undergraduate</w:t>
            </w:r>
            <w:r w:rsidRPr="009C29E7">
              <w:t xml:space="preserve"> and </w:t>
            </w:r>
            <w:r>
              <w:t>postgraduate</w:t>
            </w:r>
            <w:r w:rsidRPr="009C29E7">
              <w:t xml:space="preserve"> levels).</w:t>
            </w:r>
          </w:p>
        </w:tc>
        <w:tc>
          <w:tcPr>
            <w:tcW w:w="1487" w:type="dxa"/>
          </w:tcPr>
          <w:p w14:paraId="6DE85AC6" w14:textId="41DBA1F5" w:rsidR="009014AC" w:rsidRDefault="009014AC" w:rsidP="009014AC">
            <w:pPr>
              <w:jc w:val="center"/>
              <w:rPr>
                <w:lang w:val="en-AU"/>
              </w:rPr>
            </w:pPr>
            <w:r>
              <w:rPr>
                <w:lang w:val="en-AU"/>
              </w:rPr>
              <w:t>2024</w:t>
            </w:r>
          </w:p>
        </w:tc>
        <w:tc>
          <w:tcPr>
            <w:tcW w:w="2871" w:type="dxa"/>
            <w:shd w:val="clear" w:color="auto" w:fill="F2F2F2" w:themeFill="background1" w:themeFillShade="F2"/>
          </w:tcPr>
          <w:p w14:paraId="20AE7B46" w14:textId="0F1B7E18" w:rsidR="009014AC" w:rsidRDefault="009014AC" w:rsidP="009014AC">
            <w:pPr>
              <w:jc w:val="center"/>
              <w:rPr>
                <w:lang w:val="en-AU"/>
              </w:rPr>
            </w:pPr>
            <w:r>
              <w:rPr>
                <w:lang w:val="en-AU"/>
              </w:rPr>
              <w:t xml:space="preserve">Deputy Vice-Chancellor </w:t>
            </w:r>
            <w:r w:rsidR="00CF20E0">
              <w:rPr>
                <w:lang w:val="en-AU"/>
              </w:rPr>
              <w:t>(</w:t>
            </w:r>
            <w:r>
              <w:rPr>
                <w:lang w:val="en-AU"/>
              </w:rPr>
              <w:t>Academic</w:t>
            </w:r>
            <w:r w:rsidR="00CF20E0">
              <w:rPr>
                <w:lang w:val="en-AU"/>
              </w:rPr>
              <w:t>)</w:t>
            </w:r>
          </w:p>
          <w:p w14:paraId="05EF4D5A" w14:textId="0EF5D3E4" w:rsidR="009014AC" w:rsidRPr="00BC320C" w:rsidRDefault="009014AC" w:rsidP="009014AC">
            <w:pPr>
              <w:jc w:val="center"/>
              <w:rPr>
                <w:lang w:val="en-AU"/>
              </w:rPr>
            </w:pPr>
            <w:r>
              <w:rPr>
                <w:rFonts w:ascii="Calibri" w:eastAsia="SimSun" w:hAnsi="Calibri" w:cs="Times New Roman"/>
                <w:szCs w:val="20"/>
              </w:rPr>
              <w:t>Executive Director, Student &amp; Scholarly Services and Academic Registrar</w:t>
            </w:r>
          </w:p>
        </w:tc>
      </w:tr>
      <w:tr w:rsidR="009014AC" w14:paraId="72A001C1" w14:textId="77777777" w:rsidTr="003377AE">
        <w:trPr>
          <w:trHeight w:val="2485"/>
        </w:trPr>
        <w:tc>
          <w:tcPr>
            <w:tcW w:w="1985" w:type="dxa"/>
            <w:shd w:val="clear" w:color="auto" w:fill="E2EFE5"/>
            <w:tcMar>
              <w:top w:w="57" w:type="dxa"/>
              <w:left w:w="57" w:type="dxa"/>
              <w:bottom w:w="57" w:type="dxa"/>
              <w:right w:w="85" w:type="dxa"/>
            </w:tcMar>
          </w:tcPr>
          <w:p w14:paraId="1F08C7EF" w14:textId="10281DE2" w:rsidR="009014AC" w:rsidRPr="00BC320C" w:rsidRDefault="009014AC" w:rsidP="009014AC">
            <w:pPr>
              <w:rPr>
                <w:b/>
                <w:bCs/>
                <w:lang w:val="en-AU"/>
              </w:rPr>
            </w:pPr>
            <w:r>
              <w:rPr>
                <w:b/>
                <w:bCs/>
                <w:lang w:val="en-AU"/>
              </w:rPr>
              <w:t>4</w:t>
            </w:r>
            <w:r w:rsidRPr="00BC320C">
              <w:rPr>
                <w:b/>
                <w:bCs/>
                <w:lang w:val="en-AU"/>
              </w:rPr>
              <w:t>.</w:t>
            </w:r>
            <w:r w:rsidR="00ED5176">
              <w:rPr>
                <w:b/>
                <w:bCs/>
                <w:lang w:val="en-AU"/>
              </w:rPr>
              <w:t>8</w:t>
            </w:r>
            <w:r>
              <w:rPr>
                <w:b/>
                <w:bCs/>
                <w:lang w:val="en-AU"/>
              </w:rPr>
              <w:t xml:space="preserve"> </w:t>
            </w:r>
            <w:r w:rsidRPr="00BC320C">
              <w:rPr>
                <w:b/>
                <w:bCs/>
                <w:lang w:val="en-AU"/>
              </w:rPr>
              <w:t>–</w:t>
            </w:r>
            <w:r>
              <w:rPr>
                <w:b/>
                <w:bCs/>
                <w:lang w:val="en-AU"/>
              </w:rPr>
              <w:t xml:space="preserve"> Internships for students with disabilit</w:t>
            </w:r>
            <w:r w:rsidR="00B466DE">
              <w:rPr>
                <w:b/>
                <w:bCs/>
                <w:lang w:val="en-AU"/>
              </w:rPr>
              <w:t>y</w:t>
            </w:r>
          </w:p>
        </w:tc>
        <w:tc>
          <w:tcPr>
            <w:tcW w:w="8402" w:type="dxa"/>
            <w:shd w:val="clear" w:color="auto" w:fill="auto"/>
            <w:tcMar>
              <w:top w:w="57" w:type="dxa"/>
              <w:left w:w="57" w:type="dxa"/>
              <w:bottom w:w="57" w:type="dxa"/>
              <w:right w:w="85" w:type="dxa"/>
            </w:tcMar>
          </w:tcPr>
          <w:p w14:paraId="369C49C5" w14:textId="27120738" w:rsidR="003E521B" w:rsidRPr="00083F1B" w:rsidRDefault="000B1453" w:rsidP="003E521B">
            <w:pPr>
              <w:spacing w:after="120"/>
            </w:pPr>
            <w:r>
              <w:t>Establish and promote</w:t>
            </w:r>
            <w:r w:rsidR="009014AC" w:rsidRPr="00083F1B">
              <w:t xml:space="preserve"> internship opportunities for students with disabilit</w:t>
            </w:r>
            <w:r w:rsidR="00B466DE">
              <w:t>y</w:t>
            </w:r>
            <w:r w:rsidR="009014AC" w:rsidRPr="00083F1B">
              <w:t xml:space="preserve">, both within the University and with external partners. This could </w:t>
            </w:r>
            <w:r w:rsidR="009014AC">
              <w:t>include</w:t>
            </w:r>
            <w:r w:rsidR="009014AC" w:rsidRPr="00083F1B">
              <w:t>:</w:t>
            </w:r>
          </w:p>
          <w:p w14:paraId="4B7CD7B8" w14:textId="419C68FA" w:rsidR="009014AC" w:rsidRPr="00083F1B" w:rsidRDefault="009014AC" w:rsidP="003E521B">
            <w:pPr>
              <w:pStyle w:val="ListParagraph"/>
              <w:numPr>
                <w:ilvl w:val="0"/>
                <w:numId w:val="18"/>
              </w:numPr>
              <w:spacing w:after="120"/>
            </w:pPr>
            <w:r w:rsidRPr="00083F1B">
              <w:t>Promot</w:t>
            </w:r>
            <w:r w:rsidR="00647EC3">
              <w:t>ion of</w:t>
            </w:r>
            <w:r w:rsidRPr="00083F1B">
              <w:t xml:space="preserve"> external opportunities</w:t>
            </w:r>
            <w:r>
              <w:t>,</w:t>
            </w:r>
            <w:r w:rsidRPr="00083F1B">
              <w:t xml:space="preserve"> e.g. A</w:t>
            </w:r>
            <w:r>
              <w:t xml:space="preserve">ustralian </w:t>
            </w:r>
            <w:r w:rsidRPr="00083F1B">
              <w:t>N</w:t>
            </w:r>
            <w:r>
              <w:t xml:space="preserve">etwork on </w:t>
            </w:r>
            <w:r w:rsidRPr="00083F1B">
              <w:t>D</w:t>
            </w:r>
            <w:r>
              <w:t>isability</w:t>
            </w:r>
            <w:r w:rsidRPr="00083F1B">
              <w:t xml:space="preserve"> student internship program</w:t>
            </w:r>
          </w:p>
          <w:p w14:paraId="3EB7D941" w14:textId="16482A25" w:rsidR="009014AC" w:rsidRDefault="00BA0AD9" w:rsidP="009014AC">
            <w:pPr>
              <w:pStyle w:val="ListParagraph"/>
              <w:numPr>
                <w:ilvl w:val="0"/>
                <w:numId w:val="18"/>
              </w:numPr>
              <w:spacing w:after="0" w:line="240" w:lineRule="auto"/>
            </w:pPr>
            <w:r>
              <w:t>A</w:t>
            </w:r>
            <w:r w:rsidR="009014AC" w:rsidRPr="00083F1B">
              <w:t>ctively consider</w:t>
            </w:r>
            <w:r>
              <w:t xml:space="preserve"> and seek</w:t>
            </w:r>
            <w:r w:rsidR="009014AC" w:rsidRPr="00083F1B">
              <w:t xml:space="preserve"> </w:t>
            </w:r>
            <w:r>
              <w:t>students with disabilit</w:t>
            </w:r>
            <w:r w:rsidR="00B466DE">
              <w:t>y</w:t>
            </w:r>
            <w:r w:rsidR="009014AC" w:rsidRPr="00083F1B">
              <w:t xml:space="preserve"> for internal internship opportunities</w:t>
            </w:r>
            <w:r>
              <w:t xml:space="preserve"> connected with their faculty/discipline</w:t>
            </w:r>
          </w:p>
          <w:p w14:paraId="6F595ECE" w14:textId="635B90A2" w:rsidR="009014AC" w:rsidRPr="00083F1B" w:rsidRDefault="009014AC" w:rsidP="009014AC">
            <w:pPr>
              <w:pStyle w:val="ListParagraph"/>
              <w:numPr>
                <w:ilvl w:val="0"/>
                <w:numId w:val="18"/>
              </w:numPr>
              <w:spacing w:after="0" w:line="240" w:lineRule="auto"/>
            </w:pPr>
            <w:r w:rsidRPr="00083F1B">
              <w:t xml:space="preserve">Specific allocation of </w:t>
            </w:r>
            <w:r w:rsidR="00003C90">
              <w:t>work experience</w:t>
            </w:r>
            <w:r w:rsidRPr="00083F1B">
              <w:t xml:space="preserve"> places for students with disabilit</w:t>
            </w:r>
            <w:r w:rsidR="00B466DE">
              <w:t>y</w:t>
            </w:r>
            <w:r w:rsidR="00003C90">
              <w:t>, including paid internsh</w:t>
            </w:r>
            <w:r w:rsidR="00686A73">
              <w:t>i</w:t>
            </w:r>
            <w:r w:rsidR="00003C90">
              <w:t>ps</w:t>
            </w:r>
            <w:r>
              <w:rPr>
                <w:sz w:val="20"/>
                <w:szCs w:val="20"/>
              </w:rPr>
              <w:t>.</w:t>
            </w:r>
          </w:p>
        </w:tc>
        <w:tc>
          <w:tcPr>
            <w:tcW w:w="1487" w:type="dxa"/>
          </w:tcPr>
          <w:p w14:paraId="5296F9E0" w14:textId="50251CED" w:rsidR="009014AC" w:rsidRDefault="009014AC" w:rsidP="009014AC">
            <w:pPr>
              <w:jc w:val="center"/>
              <w:rPr>
                <w:lang w:val="en-AU"/>
              </w:rPr>
            </w:pPr>
            <w:r>
              <w:rPr>
                <w:lang w:val="en-AU"/>
              </w:rPr>
              <w:t>2024</w:t>
            </w:r>
          </w:p>
        </w:tc>
        <w:tc>
          <w:tcPr>
            <w:tcW w:w="2871" w:type="dxa"/>
            <w:shd w:val="clear" w:color="auto" w:fill="F2F2F2" w:themeFill="background1" w:themeFillShade="F2"/>
          </w:tcPr>
          <w:p w14:paraId="353ED6BF" w14:textId="77777777" w:rsidR="009014AC" w:rsidRDefault="009014AC" w:rsidP="009014AC">
            <w:pPr>
              <w:jc w:val="center"/>
              <w:rPr>
                <w:rFonts w:ascii="Calibri" w:eastAsia="SimSun" w:hAnsi="Calibri" w:cs="Times New Roman"/>
                <w:szCs w:val="20"/>
              </w:rPr>
            </w:pPr>
            <w:r>
              <w:rPr>
                <w:rFonts w:ascii="Calibri" w:eastAsia="SimSun" w:hAnsi="Calibri" w:cs="Times New Roman"/>
                <w:szCs w:val="20"/>
              </w:rPr>
              <w:t>Executive Director, Student &amp; Scholarly Services and Academic Registrar</w:t>
            </w:r>
          </w:p>
          <w:p w14:paraId="339E6CE0" w14:textId="0B80CF00" w:rsidR="009014AC" w:rsidRPr="00E65A09" w:rsidRDefault="009014AC" w:rsidP="00E65A09">
            <w:pPr>
              <w:jc w:val="center"/>
              <w:rPr>
                <w:rFonts w:ascii="Calibri" w:eastAsia="SimSun" w:hAnsi="Calibri" w:cs="Times New Roman"/>
                <w:szCs w:val="20"/>
              </w:rPr>
            </w:pPr>
            <w:r>
              <w:rPr>
                <w:rFonts w:ascii="Calibri" w:eastAsia="SimSun" w:hAnsi="Calibri" w:cs="Times New Roman"/>
                <w:szCs w:val="20"/>
                <w:lang w:val="en-AU"/>
              </w:rPr>
              <w:t>Deputy Vice</w:t>
            </w:r>
            <w:r w:rsidR="002E0333">
              <w:rPr>
                <w:rFonts w:ascii="Calibri" w:eastAsia="SimSun" w:hAnsi="Calibri" w:cs="Times New Roman"/>
                <w:szCs w:val="20"/>
                <w:lang w:val="en-AU"/>
              </w:rPr>
              <w:t>-</w:t>
            </w:r>
            <w:r>
              <w:rPr>
                <w:rFonts w:ascii="Calibri" w:eastAsia="SimSun" w:hAnsi="Calibri" w:cs="Times New Roman"/>
                <w:szCs w:val="20"/>
                <w:lang w:val="en-AU"/>
              </w:rPr>
              <w:t xml:space="preserve">Chancellor </w:t>
            </w:r>
            <w:r w:rsidR="00CF20E0">
              <w:rPr>
                <w:rFonts w:ascii="Calibri" w:eastAsia="SimSun" w:hAnsi="Calibri" w:cs="Times New Roman"/>
                <w:szCs w:val="20"/>
                <w:lang w:val="en-AU"/>
              </w:rPr>
              <w:t>(</w:t>
            </w:r>
            <w:r>
              <w:rPr>
                <w:rFonts w:ascii="Calibri" w:eastAsia="SimSun" w:hAnsi="Calibri" w:cs="Times New Roman"/>
                <w:szCs w:val="20"/>
                <w:lang w:val="en-AU"/>
              </w:rPr>
              <w:t>Academic</w:t>
            </w:r>
            <w:r w:rsidR="00CF20E0">
              <w:rPr>
                <w:rFonts w:ascii="Calibri" w:eastAsia="SimSun" w:hAnsi="Calibri" w:cs="Times New Roman"/>
                <w:szCs w:val="20"/>
                <w:lang w:val="en-AU"/>
              </w:rPr>
              <w:t>)</w:t>
            </w:r>
          </w:p>
          <w:p w14:paraId="04FCD5BA" w14:textId="1C60D70E" w:rsidR="009014AC" w:rsidRDefault="009014AC" w:rsidP="00E65A09">
            <w:pPr>
              <w:rPr>
                <w:lang w:val="en-AU"/>
              </w:rPr>
            </w:pPr>
          </w:p>
        </w:tc>
      </w:tr>
    </w:tbl>
    <w:p w14:paraId="21665C81" w14:textId="7F20CAA1" w:rsidR="00434E81" w:rsidRDefault="00434E81">
      <w:pPr>
        <w:sectPr w:rsidR="00434E81" w:rsidSect="00744C33">
          <w:footerReference w:type="default" r:id="rId15"/>
          <w:footerReference w:type="first" r:id="rId16"/>
          <w:pgSz w:w="15840" w:h="12240" w:orient="landscape"/>
          <w:pgMar w:top="1440" w:right="1440" w:bottom="1440" w:left="1304" w:header="720" w:footer="720" w:gutter="0"/>
          <w:cols w:space="720"/>
          <w:docGrid w:linePitch="360"/>
        </w:sectPr>
      </w:pPr>
    </w:p>
    <w:p w14:paraId="79882529" w14:textId="5D6FA355" w:rsidR="00321243" w:rsidRPr="003E665D" w:rsidRDefault="00321243" w:rsidP="00321243">
      <w:pPr>
        <w:pStyle w:val="Heading1"/>
        <w:spacing w:after="240"/>
        <w:rPr>
          <w:rFonts w:ascii="Georgia" w:hAnsi="Georgia"/>
          <w:b/>
          <w:bCs/>
          <w:sz w:val="28"/>
          <w:szCs w:val="28"/>
        </w:rPr>
      </w:pPr>
      <w:r>
        <w:rPr>
          <w:rFonts w:ascii="Georgia" w:hAnsi="Georgia"/>
          <w:b/>
          <w:bCs/>
          <w:sz w:val="28"/>
          <w:szCs w:val="28"/>
        </w:rPr>
        <w:lastRenderedPageBreak/>
        <w:t xml:space="preserve">Focus Area </w:t>
      </w:r>
      <w:r w:rsidR="00156462">
        <w:rPr>
          <w:rFonts w:ascii="Georgia" w:hAnsi="Georgia"/>
          <w:b/>
          <w:bCs/>
          <w:sz w:val="28"/>
          <w:szCs w:val="28"/>
        </w:rPr>
        <w:t>5</w:t>
      </w:r>
      <w:r>
        <w:rPr>
          <w:rFonts w:ascii="Georgia" w:hAnsi="Georgia"/>
          <w:b/>
          <w:bCs/>
          <w:sz w:val="28"/>
          <w:szCs w:val="28"/>
        </w:rPr>
        <w:t>: St</w:t>
      </w:r>
      <w:r w:rsidR="00156462">
        <w:rPr>
          <w:rFonts w:ascii="Georgia" w:hAnsi="Georgia"/>
          <w:b/>
          <w:bCs/>
          <w:sz w:val="28"/>
          <w:szCs w:val="28"/>
        </w:rPr>
        <w:t>aff</w:t>
      </w:r>
      <w:r>
        <w:rPr>
          <w:rFonts w:ascii="Georgia" w:hAnsi="Georgia"/>
          <w:b/>
          <w:bCs/>
          <w:sz w:val="28"/>
          <w:szCs w:val="28"/>
        </w:rPr>
        <w:t xml:space="preserve"> Recruitment, Support and </w:t>
      </w:r>
      <w:r w:rsidR="0069102B">
        <w:rPr>
          <w:rFonts w:ascii="Georgia" w:hAnsi="Georgia"/>
          <w:b/>
          <w:bCs/>
          <w:sz w:val="28"/>
          <w:szCs w:val="28"/>
        </w:rPr>
        <w:t>Development</w:t>
      </w:r>
    </w:p>
    <w:p w14:paraId="7706877C" w14:textId="10CF303E" w:rsidR="00321243" w:rsidRPr="001F34A8" w:rsidRDefault="001F34A8" w:rsidP="001F34A8">
      <w:pPr>
        <w:jc w:val="center"/>
        <w:rPr>
          <w:i/>
          <w:iCs/>
          <w:sz w:val="24"/>
          <w:szCs w:val="24"/>
          <w:lang w:val="en-AU"/>
        </w:rPr>
      </w:pPr>
      <w:r w:rsidRPr="001F34A8">
        <w:rPr>
          <w:b/>
          <w:bCs/>
          <w:i/>
          <w:iCs/>
          <w:sz w:val="24"/>
          <w:szCs w:val="24"/>
          <w:lang w:val="en-AU"/>
        </w:rPr>
        <w:t xml:space="preserve">Goal: </w:t>
      </w:r>
      <w:r w:rsidRPr="001F34A8">
        <w:rPr>
          <w:i/>
          <w:iCs/>
          <w:sz w:val="24"/>
          <w:szCs w:val="24"/>
          <w:lang w:val="en-AU"/>
        </w:rPr>
        <w:t xml:space="preserve">Prospective, new and current staff </w:t>
      </w:r>
      <w:r w:rsidR="00B466DE">
        <w:rPr>
          <w:i/>
          <w:iCs/>
          <w:sz w:val="24"/>
          <w:szCs w:val="24"/>
          <w:lang w:val="en-AU"/>
        </w:rPr>
        <w:t>with disability</w:t>
      </w:r>
      <w:r w:rsidR="003177F9">
        <w:rPr>
          <w:i/>
          <w:iCs/>
          <w:sz w:val="24"/>
          <w:szCs w:val="24"/>
          <w:lang w:val="en-AU"/>
        </w:rPr>
        <w:t>,</w:t>
      </w:r>
      <w:r w:rsidR="00D26F29">
        <w:rPr>
          <w:i/>
          <w:iCs/>
          <w:sz w:val="24"/>
          <w:szCs w:val="24"/>
          <w:lang w:val="en-AU"/>
        </w:rPr>
        <w:t xml:space="preserve"> </w:t>
      </w:r>
      <w:r w:rsidR="00D26F29" w:rsidRPr="000256C6">
        <w:rPr>
          <w:i/>
          <w:iCs/>
          <w:sz w:val="24"/>
          <w:szCs w:val="24"/>
          <w:lang w:val="en-AU"/>
        </w:rPr>
        <w:t>chronic health conditions, mental health conditions and/or their carers</w:t>
      </w:r>
      <w:r w:rsidRPr="001F34A8">
        <w:rPr>
          <w:i/>
          <w:iCs/>
          <w:sz w:val="24"/>
          <w:szCs w:val="24"/>
          <w:lang w:val="en-AU"/>
        </w:rPr>
        <w:t xml:space="preserve"> feel confident, supported, and passionate about working at the University.</w:t>
      </w:r>
    </w:p>
    <w:tbl>
      <w:tblPr>
        <w:tblW w:w="14745" w:type="dxa"/>
        <w:tblInd w:w="-709" w:type="dxa"/>
        <w:tblCellMar>
          <w:left w:w="0" w:type="dxa"/>
          <w:right w:w="0" w:type="dxa"/>
        </w:tblCellMar>
        <w:tblLook w:val="04A0" w:firstRow="1" w:lastRow="0" w:firstColumn="1" w:lastColumn="0" w:noHBand="0" w:noVBand="1"/>
      </w:tblPr>
      <w:tblGrid>
        <w:gridCol w:w="1985"/>
        <w:gridCol w:w="8402"/>
        <w:gridCol w:w="1487"/>
        <w:gridCol w:w="2871"/>
      </w:tblGrid>
      <w:tr w:rsidR="009014AC" w:rsidRPr="00BC320C" w14:paraId="2CABF2AF" w14:textId="77777777" w:rsidTr="00F92330">
        <w:trPr>
          <w:trHeight w:val="935"/>
        </w:trPr>
        <w:tc>
          <w:tcPr>
            <w:tcW w:w="1985" w:type="dxa"/>
            <w:tcBorders>
              <w:top w:val="single" w:sz="2" w:space="0" w:color="7B7B7B" w:themeColor="accent3" w:themeShade="BF"/>
              <w:left w:val="nil"/>
              <w:bottom w:val="single" w:sz="2" w:space="0" w:color="7F7F7F"/>
              <w:right w:val="nil"/>
            </w:tcBorders>
            <w:shd w:val="clear" w:color="auto" w:fill="C5DFCC"/>
            <w:tcMar>
              <w:top w:w="57" w:type="dxa"/>
              <w:left w:w="57" w:type="dxa"/>
              <w:bottom w:w="57" w:type="dxa"/>
              <w:right w:w="85" w:type="dxa"/>
            </w:tcMar>
          </w:tcPr>
          <w:p w14:paraId="02011BB6" w14:textId="77777777" w:rsidR="009014AC" w:rsidRDefault="009014AC" w:rsidP="009014AC">
            <w:pPr>
              <w:rPr>
                <w:b/>
                <w:bCs/>
                <w:lang w:val="en-AU"/>
              </w:rPr>
            </w:pPr>
          </w:p>
        </w:tc>
        <w:tc>
          <w:tcPr>
            <w:tcW w:w="8402" w:type="dxa"/>
            <w:tcBorders>
              <w:top w:val="single" w:sz="2" w:space="0" w:color="7B7B7B" w:themeColor="accent3" w:themeShade="BF"/>
              <w:left w:val="nil"/>
              <w:bottom w:val="single" w:sz="2" w:space="0" w:color="7F7F7F"/>
              <w:right w:val="nil"/>
            </w:tcBorders>
            <w:shd w:val="clear" w:color="auto" w:fill="C5DFCC"/>
            <w:tcMar>
              <w:top w:w="57" w:type="dxa"/>
              <w:left w:w="57" w:type="dxa"/>
              <w:bottom w:w="57" w:type="dxa"/>
              <w:right w:w="85" w:type="dxa"/>
            </w:tcMar>
            <w:vAlign w:val="center"/>
          </w:tcPr>
          <w:p w14:paraId="7F90CFEF" w14:textId="5E622403" w:rsidR="009014AC" w:rsidRPr="00A36E96" w:rsidRDefault="009014AC" w:rsidP="00F92330">
            <w:pPr>
              <w:jc w:val="center"/>
            </w:pPr>
            <w:r>
              <w:rPr>
                <w:b/>
                <w:bCs/>
                <w:sz w:val="24"/>
                <w:szCs w:val="24"/>
              </w:rPr>
              <w:t>STAFF SUPPORT</w:t>
            </w:r>
          </w:p>
        </w:tc>
        <w:tc>
          <w:tcPr>
            <w:tcW w:w="1487" w:type="dxa"/>
            <w:tcBorders>
              <w:top w:val="single" w:sz="4" w:space="0" w:color="auto"/>
              <w:left w:val="nil"/>
              <w:bottom w:val="single" w:sz="2" w:space="0" w:color="7F7F7F"/>
              <w:right w:val="nil"/>
            </w:tcBorders>
            <w:vAlign w:val="center"/>
          </w:tcPr>
          <w:p w14:paraId="7185F437" w14:textId="08F79CEC" w:rsidR="009014AC" w:rsidRPr="00116E1D" w:rsidRDefault="0074203C" w:rsidP="00F92330">
            <w:pPr>
              <w:spacing w:after="0"/>
              <w:jc w:val="center"/>
              <w:rPr>
                <w:lang w:val="en-AU"/>
              </w:rPr>
            </w:pPr>
            <w:r>
              <w:rPr>
                <w:b/>
                <w:bCs/>
                <w:i/>
                <w:iCs/>
                <w:lang w:val="en-AU"/>
              </w:rPr>
              <w:t>Indicative t</w:t>
            </w:r>
            <w:r w:rsidR="009014AC">
              <w:rPr>
                <w:b/>
                <w:bCs/>
                <w:i/>
                <w:iCs/>
                <w:lang w:val="en-AU"/>
              </w:rPr>
              <w:t>imeline to commence</w:t>
            </w:r>
          </w:p>
        </w:tc>
        <w:tc>
          <w:tcPr>
            <w:tcW w:w="2871" w:type="dxa"/>
            <w:tcBorders>
              <w:top w:val="single" w:sz="4" w:space="0" w:color="auto"/>
              <w:left w:val="nil"/>
              <w:bottom w:val="single" w:sz="2" w:space="0" w:color="7F7F7F"/>
              <w:right w:val="nil"/>
            </w:tcBorders>
            <w:shd w:val="clear" w:color="auto" w:fill="F2F2F2" w:themeFill="background1" w:themeFillShade="F2"/>
            <w:vAlign w:val="center"/>
          </w:tcPr>
          <w:p w14:paraId="3AF6E495" w14:textId="2891EEF1" w:rsidR="009014AC" w:rsidRDefault="009014AC" w:rsidP="00F92330">
            <w:pPr>
              <w:jc w:val="center"/>
              <w:rPr>
                <w:rFonts w:ascii="Calibri" w:eastAsia="SimSun" w:hAnsi="Calibri" w:cs="Times New Roman"/>
                <w:szCs w:val="20"/>
              </w:rPr>
            </w:pPr>
            <w:r>
              <w:rPr>
                <w:b/>
                <w:bCs/>
                <w:i/>
                <w:iCs/>
                <w:lang w:val="en-AU"/>
              </w:rPr>
              <w:t>Accountable</w:t>
            </w:r>
            <w:r w:rsidRPr="004B37A3">
              <w:rPr>
                <w:b/>
                <w:bCs/>
                <w:i/>
                <w:iCs/>
                <w:lang w:val="en-AU"/>
              </w:rPr>
              <w:t xml:space="preserve"> for implementation</w:t>
            </w:r>
          </w:p>
        </w:tc>
      </w:tr>
      <w:tr w:rsidR="009014AC" w:rsidRPr="00BC320C" w14:paraId="28E8AFB1" w14:textId="77777777" w:rsidTr="009014AC">
        <w:trPr>
          <w:trHeight w:val="935"/>
        </w:trPr>
        <w:tc>
          <w:tcPr>
            <w:tcW w:w="1985" w:type="dxa"/>
            <w:tcBorders>
              <w:top w:val="single" w:sz="2" w:space="0" w:color="7B7B7B" w:themeColor="accent3" w:themeShade="BF"/>
              <w:left w:val="nil"/>
              <w:bottom w:val="single" w:sz="2" w:space="0" w:color="7F7F7F"/>
              <w:right w:val="nil"/>
            </w:tcBorders>
            <w:shd w:val="clear" w:color="auto" w:fill="E2EFE5"/>
            <w:tcMar>
              <w:top w:w="57" w:type="dxa"/>
              <w:left w:w="57" w:type="dxa"/>
              <w:bottom w:w="57" w:type="dxa"/>
              <w:right w:w="85" w:type="dxa"/>
            </w:tcMar>
            <w:hideMark/>
          </w:tcPr>
          <w:p w14:paraId="20149F99" w14:textId="6571DD73" w:rsidR="009014AC" w:rsidRPr="00BC320C" w:rsidRDefault="009014AC" w:rsidP="009014AC">
            <w:r>
              <w:rPr>
                <w:b/>
                <w:bCs/>
                <w:lang w:val="en-AU"/>
              </w:rPr>
              <w:t>5.1 – Workplace Adjustments Support</w:t>
            </w:r>
          </w:p>
        </w:tc>
        <w:tc>
          <w:tcPr>
            <w:tcW w:w="8402" w:type="dxa"/>
            <w:tcBorders>
              <w:top w:val="single" w:sz="2" w:space="0" w:color="7B7B7B" w:themeColor="accent3" w:themeShade="BF"/>
              <w:left w:val="nil"/>
              <w:bottom w:val="single" w:sz="2" w:space="0" w:color="7F7F7F"/>
              <w:right w:val="nil"/>
            </w:tcBorders>
            <w:shd w:val="clear" w:color="auto" w:fill="auto"/>
            <w:tcMar>
              <w:top w:w="57" w:type="dxa"/>
              <w:left w:w="57" w:type="dxa"/>
              <w:bottom w:w="57" w:type="dxa"/>
              <w:right w:w="85" w:type="dxa"/>
            </w:tcMar>
            <w:hideMark/>
          </w:tcPr>
          <w:p w14:paraId="523B79F0" w14:textId="16FEDA1E" w:rsidR="009014AC" w:rsidRPr="00A36E96" w:rsidRDefault="009014AC" w:rsidP="009014AC">
            <w:r w:rsidRPr="00A36E96">
              <w:t>Develop a supportive and centralised process to provide workplace adjustments to staff with disabilit</w:t>
            </w:r>
            <w:r w:rsidR="00B466DE">
              <w:t>y</w:t>
            </w:r>
            <w:r w:rsidRPr="00A36E96">
              <w:t>.</w:t>
            </w:r>
          </w:p>
        </w:tc>
        <w:tc>
          <w:tcPr>
            <w:tcW w:w="1487" w:type="dxa"/>
            <w:tcBorders>
              <w:top w:val="nil"/>
              <w:left w:val="nil"/>
              <w:bottom w:val="single" w:sz="2" w:space="0" w:color="7F7F7F"/>
              <w:right w:val="nil"/>
            </w:tcBorders>
          </w:tcPr>
          <w:p w14:paraId="4EC1BF5B" w14:textId="77777777" w:rsidR="009014AC" w:rsidRPr="00116E1D" w:rsidRDefault="009014AC" w:rsidP="009014AC">
            <w:pPr>
              <w:jc w:val="center"/>
              <w:rPr>
                <w:lang w:val="en-AU"/>
              </w:rPr>
            </w:pPr>
            <w:r w:rsidRPr="00116E1D">
              <w:rPr>
                <w:lang w:val="en-AU"/>
              </w:rPr>
              <w:t>2023</w:t>
            </w:r>
          </w:p>
        </w:tc>
        <w:tc>
          <w:tcPr>
            <w:tcW w:w="2871" w:type="dxa"/>
            <w:tcBorders>
              <w:top w:val="nil"/>
              <w:left w:val="nil"/>
              <w:bottom w:val="single" w:sz="2" w:space="0" w:color="7F7F7F"/>
              <w:right w:val="nil"/>
            </w:tcBorders>
            <w:shd w:val="clear" w:color="auto" w:fill="F2F2F2" w:themeFill="background1" w:themeFillShade="F2"/>
          </w:tcPr>
          <w:p w14:paraId="46EA631A" w14:textId="2D3B0034" w:rsidR="009014AC" w:rsidRPr="00BC320C" w:rsidRDefault="009014AC" w:rsidP="009014AC">
            <w:pPr>
              <w:jc w:val="center"/>
              <w:rPr>
                <w:lang w:val="en-AU"/>
              </w:rPr>
            </w:pPr>
            <w:r>
              <w:rPr>
                <w:rFonts w:ascii="Calibri" w:eastAsia="SimSun" w:hAnsi="Calibri" w:cs="Times New Roman"/>
                <w:szCs w:val="20"/>
              </w:rPr>
              <w:t>Executive Director Business Services</w:t>
            </w:r>
          </w:p>
        </w:tc>
      </w:tr>
      <w:tr w:rsidR="009014AC" w:rsidRPr="00BC320C" w14:paraId="2FD91F09" w14:textId="77777777" w:rsidTr="009014AC">
        <w:trPr>
          <w:trHeight w:val="922"/>
        </w:trPr>
        <w:tc>
          <w:tcPr>
            <w:tcW w:w="1985" w:type="dxa"/>
            <w:tcBorders>
              <w:top w:val="single" w:sz="2" w:space="0" w:color="7F7F7F"/>
              <w:left w:val="nil"/>
              <w:bottom w:val="single" w:sz="2" w:space="0" w:color="7F7F7F"/>
              <w:right w:val="nil"/>
            </w:tcBorders>
            <w:shd w:val="clear" w:color="auto" w:fill="E2EFE5"/>
            <w:tcMar>
              <w:top w:w="57" w:type="dxa"/>
              <w:left w:w="57" w:type="dxa"/>
              <w:bottom w:w="57" w:type="dxa"/>
              <w:right w:w="85" w:type="dxa"/>
            </w:tcMar>
            <w:hideMark/>
          </w:tcPr>
          <w:p w14:paraId="01A8EB94" w14:textId="060A61B6" w:rsidR="009014AC" w:rsidRPr="00BC320C" w:rsidRDefault="009014AC" w:rsidP="009014AC">
            <w:r>
              <w:rPr>
                <w:b/>
                <w:bCs/>
                <w:lang w:val="en-AU"/>
              </w:rPr>
              <w:t>5</w:t>
            </w:r>
            <w:r w:rsidRPr="00BC320C">
              <w:rPr>
                <w:b/>
                <w:bCs/>
                <w:lang w:val="en-AU"/>
              </w:rPr>
              <w:t>.</w:t>
            </w:r>
            <w:r>
              <w:rPr>
                <w:b/>
                <w:bCs/>
                <w:lang w:val="en-AU"/>
              </w:rPr>
              <w:t>2</w:t>
            </w:r>
            <w:r w:rsidRPr="00BC320C">
              <w:rPr>
                <w:b/>
                <w:bCs/>
                <w:lang w:val="en-AU"/>
              </w:rPr>
              <w:t xml:space="preserve"> – </w:t>
            </w:r>
            <w:r>
              <w:rPr>
                <w:b/>
                <w:bCs/>
                <w:lang w:val="en-AU"/>
              </w:rPr>
              <w:t>Payment for workplace adjustments</w:t>
            </w:r>
          </w:p>
        </w:tc>
        <w:tc>
          <w:tcPr>
            <w:tcW w:w="8402" w:type="dxa"/>
            <w:tcBorders>
              <w:top w:val="single" w:sz="2" w:space="0" w:color="7F7F7F"/>
              <w:left w:val="nil"/>
              <w:bottom w:val="single" w:sz="2" w:space="0" w:color="7F7F7F"/>
              <w:right w:val="nil"/>
            </w:tcBorders>
            <w:shd w:val="clear" w:color="auto" w:fill="auto"/>
            <w:tcMar>
              <w:top w:w="57" w:type="dxa"/>
              <w:left w:w="57" w:type="dxa"/>
              <w:bottom w:w="57" w:type="dxa"/>
              <w:right w:w="85" w:type="dxa"/>
            </w:tcMar>
            <w:hideMark/>
          </w:tcPr>
          <w:p w14:paraId="05666F04" w14:textId="77777777" w:rsidR="003A760D" w:rsidRDefault="009014AC" w:rsidP="00345340">
            <w:pPr>
              <w:spacing w:after="120"/>
            </w:pPr>
            <w:r w:rsidRPr="00194B08">
              <w:t>Establish</w:t>
            </w:r>
            <w:r w:rsidR="003A760D">
              <w:t>:</w:t>
            </w:r>
          </w:p>
          <w:p w14:paraId="3E96DB91" w14:textId="497CC91D" w:rsidR="003A760D" w:rsidRDefault="00DD61E9" w:rsidP="003A760D">
            <w:pPr>
              <w:pStyle w:val="ListParagraph"/>
              <w:numPr>
                <w:ilvl w:val="0"/>
                <w:numId w:val="25"/>
              </w:numPr>
            </w:pPr>
            <w:r>
              <w:t>A</w:t>
            </w:r>
            <w:r w:rsidR="009014AC" w:rsidRPr="00194B08">
              <w:t xml:space="preserve"> budgetary mechanism </w:t>
            </w:r>
            <w:r w:rsidR="003A760D" w:rsidRPr="00194B08">
              <w:t>to support timely provision of workplace adjustments for staff with disabilit</w:t>
            </w:r>
            <w:r w:rsidR="00B466DE">
              <w:t>y</w:t>
            </w:r>
          </w:p>
          <w:p w14:paraId="48622AD0" w14:textId="3E39C664" w:rsidR="009014AC" w:rsidRPr="00194B08" w:rsidRDefault="00DD61E9" w:rsidP="003A760D">
            <w:pPr>
              <w:pStyle w:val="ListParagraph"/>
              <w:numPr>
                <w:ilvl w:val="0"/>
                <w:numId w:val="25"/>
              </w:numPr>
            </w:pPr>
            <w:r>
              <w:t>G</w:t>
            </w:r>
            <w:r w:rsidR="003A2521">
              <w:t xml:space="preserve">uidance for </w:t>
            </w:r>
            <w:r w:rsidR="009014AC" w:rsidRPr="00194B08">
              <w:t>manager</w:t>
            </w:r>
            <w:r w:rsidR="003A2521">
              <w:t>s on their</w:t>
            </w:r>
            <w:r w:rsidR="009014AC" w:rsidRPr="00194B08">
              <w:t xml:space="preserve"> responsibilities </w:t>
            </w:r>
            <w:r w:rsidR="00AC3BDB">
              <w:t>regarding</w:t>
            </w:r>
            <w:r w:rsidR="009014AC" w:rsidRPr="00194B08">
              <w:t xml:space="preserve"> workplace adjustments, and </w:t>
            </w:r>
            <w:r w:rsidR="00AC3BDB">
              <w:t>availability of budgetary mechanism.</w:t>
            </w:r>
          </w:p>
        </w:tc>
        <w:tc>
          <w:tcPr>
            <w:tcW w:w="1487" w:type="dxa"/>
            <w:tcBorders>
              <w:top w:val="single" w:sz="2" w:space="0" w:color="7F7F7F"/>
              <w:left w:val="nil"/>
              <w:bottom w:val="single" w:sz="2" w:space="0" w:color="7F7F7F"/>
              <w:right w:val="nil"/>
            </w:tcBorders>
          </w:tcPr>
          <w:p w14:paraId="7911412E" w14:textId="6A8E83BA" w:rsidR="009014AC" w:rsidRDefault="009014AC" w:rsidP="009014AC">
            <w:pPr>
              <w:jc w:val="center"/>
              <w:rPr>
                <w:lang w:val="en-AU"/>
              </w:rPr>
            </w:pPr>
            <w:r>
              <w:rPr>
                <w:lang w:val="en-AU"/>
              </w:rPr>
              <w:t>2024</w:t>
            </w:r>
          </w:p>
        </w:tc>
        <w:tc>
          <w:tcPr>
            <w:tcW w:w="2871" w:type="dxa"/>
            <w:tcBorders>
              <w:top w:val="single" w:sz="2" w:space="0" w:color="7F7F7F"/>
              <w:left w:val="nil"/>
              <w:bottom w:val="single" w:sz="2" w:space="0" w:color="7F7F7F"/>
              <w:right w:val="nil"/>
            </w:tcBorders>
            <w:shd w:val="clear" w:color="auto" w:fill="F2F2F2" w:themeFill="background1" w:themeFillShade="F2"/>
          </w:tcPr>
          <w:p w14:paraId="11DF82B5" w14:textId="753568B8" w:rsidR="009014AC" w:rsidRPr="00632EC0" w:rsidRDefault="009014AC" w:rsidP="00632EC0">
            <w:pPr>
              <w:jc w:val="center"/>
              <w:rPr>
                <w:rFonts w:ascii="Calibri" w:eastAsia="SimSun" w:hAnsi="Calibri" w:cs="Times New Roman"/>
                <w:szCs w:val="20"/>
              </w:rPr>
            </w:pPr>
            <w:r>
              <w:rPr>
                <w:rFonts w:ascii="Calibri" w:eastAsia="SimSun" w:hAnsi="Calibri" w:cs="Times New Roman"/>
                <w:szCs w:val="20"/>
              </w:rPr>
              <w:t xml:space="preserve">Chief </w:t>
            </w:r>
            <w:r w:rsidR="00640FF4">
              <w:rPr>
                <w:rFonts w:ascii="Calibri" w:eastAsia="SimSun" w:hAnsi="Calibri" w:cs="Times New Roman"/>
                <w:szCs w:val="20"/>
              </w:rPr>
              <w:t xml:space="preserve">Financial </w:t>
            </w:r>
            <w:r>
              <w:rPr>
                <w:rFonts w:ascii="Calibri" w:eastAsia="SimSun" w:hAnsi="Calibri" w:cs="Times New Roman"/>
                <w:szCs w:val="20"/>
              </w:rPr>
              <w:t>Officer</w:t>
            </w:r>
          </w:p>
          <w:p w14:paraId="25FE824A" w14:textId="0A3D8EFF" w:rsidR="009F2ED4" w:rsidRPr="00BC320C" w:rsidRDefault="009F2ED4" w:rsidP="009014AC">
            <w:pPr>
              <w:jc w:val="center"/>
              <w:rPr>
                <w:lang w:val="en-AU"/>
              </w:rPr>
            </w:pPr>
            <w:r>
              <w:rPr>
                <w:rFonts w:ascii="Calibri" w:eastAsia="SimSun" w:hAnsi="Calibri" w:cs="Times New Roman"/>
                <w:szCs w:val="20"/>
                <w:lang w:val="en-AU"/>
              </w:rPr>
              <w:t>Director Diversity &amp; Inclusion</w:t>
            </w:r>
          </w:p>
        </w:tc>
      </w:tr>
      <w:tr w:rsidR="009014AC" w:rsidRPr="00BC320C" w14:paraId="362B1FFA" w14:textId="77777777" w:rsidTr="00F92330">
        <w:trPr>
          <w:trHeight w:val="796"/>
        </w:trPr>
        <w:tc>
          <w:tcPr>
            <w:tcW w:w="1985" w:type="dxa"/>
            <w:tcBorders>
              <w:top w:val="single" w:sz="2" w:space="0" w:color="7B7B7B" w:themeColor="accent3" w:themeShade="BF"/>
              <w:left w:val="nil"/>
              <w:bottom w:val="single" w:sz="2" w:space="0" w:color="7F7F7F"/>
              <w:right w:val="nil"/>
            </w:tcBorders>
            <w:shd w:val="clear" w:color="auto" w:fill="C5DFCC"/>
            <w:tcMar>
              <w:top w:w="57" w:type="dxa"/>
              <w:left w:w="57" w:type="dxa"/>
              <w:bottom w:w="57" w:type="dxa"/>
              <w:right w:w="85" w:type="dxa"/>
            </w:tcMar>
          </w:tcPr>
          <w:p w14:paraId="13E1BA60" w14:textId="77777777" w:rsidR="009014AC" w:rsidRDefault="009014AC" w:rsidP="009014AC">
            <w:pPr>
              <w:rPr>
                <w:b/>
                <w:bCs/>
                <w:lang w:val="en-AU"/>
              </w:rPr>
            </w:pPr>
          </w:p>
        </w:tc>
        <w:tc>
          <w:tcPr>
            <w:tcW w:w="8402" w:type="dxa"/>
            <w:tcBorders>
              <w:top w:val="single" w:sz="2" w:space="0" w:color="7B7B7B" w:themeColor="accent3" w:themeShade="BF"/>
              <w:left w:val="nil"/>
              <w:bottom w:val="single" w:sz="4" w:space="0" w:color="auto"/>
              <w:right w:val="nil"/>
            </w:tcBorders>
            <w:shd w:val="clear" w:color="auto" w:fill="C5DFCC"/>
            <w:tcMar>
              <w:top w:w="57" w:type="dxa"/>
              <w:left w:w="57" w:type="dxa"/>
              <w:bottom w:w="57" w:type="dxa"/>
              <w:right w:w="85" w:type="dxa"/>
            </w:tcMar>
            <w:vAlign w:val="center"/>
          </w:tcPr>
          <w:p w14:paraId="55B7C3EC" w14:textId="2135D5F8" w:rsidR="009014AC" w:rsidRPr="00D55E90" w:rsidRDefault="009014AC" w:rsidP="00F92330">
            <w:pPr>
              <w:jc w:val="center"/>
            </w:pPr>
            <w:r>
              <w:rPr>
                <w:b/>
                <w:bCs/>
                <w:sz w:val="24"/>
                <w:szCs w:val="24"/>
              </w:rPr>
              <w:t>POLICIES AND STAFF DEVELOPMENT</w:t>
            </w:r>
          </w:p>
        </w:tc>
        <w:tc>
          <w:tcPr>
            <w:tcW w:w="1487" w:type="dxa"/>
            <w:tcBorders>
              <w:top w:val="nil"/>
              <w:left w:val="nil"/>
              <w:bottom w:val="single" w:sz="4" w:space="0" w:color="auto"/>
              <w:right w:val="nil"/>
            </w:tcBorders>
            <w:vAlign w:val="center"/>
          </w:tcPr>
          <w:p w14:paraId="05E426C7" w14:textId="518F006F" w:rsidR="009014AC" w:rsidRDefault="0074203C" w:rsidP="00F92330">
            <w:pPr>
              <w:spacing w:after="0"/>
              <w:jc w:val="center"/>
              <w:rPr>
                <w:lang w:val="en-AU"/>
              </w:rPr>
            </w:pPr>
            <w:r>
              <w:rPr>
                <w:b/>
                <w:bCs/>
                <w:i/>
                <w:iCs/>
                <w:lang w:val="en-AU"/>
              </w:rPr>
              <w:t>Indicative t</w:t>
            </w:r>
            <w:r w:rsidR="009014AC">
              <w:rPr>
                <w:b/>
                <w:bCs/>
                <w:i/>
                <w:iCs/>
                <w:lang w:val="en-AU"/>
              </w:rPr>
              <w:t>imeline to commence</w:t>
            </w:r>
          </w:p>
        </w:tc>
        <w:tc>
          <w:tcPr>
            <w:tcW w:w="2871" w:type="dxa"/>
            <w:tcBorders>
              <w:top w:val="nil"/>
              <w:left w:val="nil"/>
              <w:bottom w:val="single" w:sz="4" w:space="0" w:color="auto"/>
              <w:right w:val="nil"/>
            </w:tcBorders>
            <w:shd w:val="clear" w:color="auto" w:fill="F2F2F2" w:themeFill="background1" w:themeFillShade="F2"/>
            <w:vAlign w:val="center"/>
          </w:tcPr>
          <w:p w14:paraId="1CB0654E" w14:textId="60A5A463" w:rsidR="009014AC" w:rsidRDefault="009014AC" w:rsidP="00F92330">
            <w:pPr>
              <w:jc w:val="center"/>
              <w:rPr>
                <w:rFonts w:ascii="Calibri" w:eastAsia="SimSun" w:hAnsi="Calibri" w:cs="Times New Roman"/>
                <w:szCs w:val="20"/>
              </w:rPr>
            </w:pPr>
            <w:r>
              <w:rPr>
                <w:b/>
                <w:bCs/>
                <w:i/>
                <w:iCs/>
                <w:lang w:val="en-AU"/>
              </w:rPr>
              <w:t>Accountable</w:t>
            </w:r>
            <w:r w:rsidRPr="004B37A3">
              <w:rPr>
                <w:b/>
                <w:bCs/>
                <w:i/>
                <w:iCs/>
                <w:lang w:val="en-AU"/>
              </w:rPr>
              <w:t xml:space="preserve"> for implementation</w:t>
            </w:r>
          </w:p>
        </w:tc>
      </w:tr>
      <w:tr w:rsidR="009014AC" w:rsidRPr="00BC320C" w14:paraId="1EE1F28F" w14:textId="77777777" w:rsidTr="003967B0">
        <w:trPr>
          <w:trHeight w:val="796"/>
        </w:trPr>
        <w:tc>
          <w:tcPr>
            <w:tcW w:w="1985" w:type="dxa"/>
            <w:tcBorders>
              <w:top w:val="single" w:sz="2" w:space="0" w:color="7B7B7B" w:themeColor="accent3" w:themeShade="BF"/>
              <w:left w:val="nil"/>
              <w:bottom w:val="single" w:sz="2" w:space="0" w:color="7F7F7F"/>
              <w:right w:val="nil"/>
            </w:tcBorders>
            <w:shd w:val="clear" w:color="auto" w:fill="E2EFE5"/>
            <w:tcMar>
              <w:top w:w="57" w:type="dxa"/>
              <w:left w:w="57" w:type="dxa"/>
              <w:bottom w:w="57" w:type="dxa"/>
              <w:right w:w="85" w:type="dxa"/>
            </w:tcMar>
            <w:hideMark/>
          </w:tcPr>
          <w:p w14:paraId="59D12EC2" w14:textId="219AA8D9" w:rsidR="009014AC" w:rsidRPr="00BC320C" w:rsidRDefault="009014AC" w:rsidP="009014AC">
            <w:r>
              <w:rPr>
                <w:b/>
                <w:bCs/>
                <w:lang w:val="en-AU"/>
              </w:rPr>
              <w:t xml:space="preserve">5.3 – HR </w:t>
            </w:r>
            <w:r w:rsidR="00EF3B63">
              <w:rPr>
                <w:b/>
                <w:bCs/>
                <w:lang w:val="en-AU"/>
              </w:rPr>
              <w:t>p</w:t>
            </w:r>
            <w:r>
              <w:rPr>
                <w:b/>
                <w:bCs/>
                <w:lang w:val="en-AU"/>
              </w:rPr>
              <w:t xml:space="preserve">olicies and </w:t>
            </w:r>
            <w:r w:rsidR="00EF3B63">
              <w:rPr>
                <w:b/>
                <w:bCs/>
                <w:lang w:val="en-AU"/>
              </w:rPr>
              <w:t>p</w:t>
            </w:r>
            <w:r>
              <w:rPr>
                <w:b/>
                <w:bCs/>
                <w:lang w:val="en-AU"/>
              </w:rPr>
              <w:t>rocedures</w:t>
            </w:r>
          </w:p>
        </w:tc>
        <w:tc>
          <w:tcPr>
            <w:tcW w:w="8402" w:type="dxa"/>
            <w:tcBorders>
              <w:top w:val="single" w:sz="4" w:space="0" w:color="auto"/>
              <w:left w:val="nil"/>
              <w:bottom w:val="single" w:sz="2" w:space="0" w:color="7F7F7F"/>
              <w:right w:val="nil"/>
            </w:tcBorders>
            <w:shd w:val="clear" w:color="auto" w:fill="auto"/>
            <w:tcMar>
              <w:top w:w="57" w:type="dxa"/>
              <w:left w:w="57" w:type="dxa"/>
              <w:bottom w:w="57" w:type="dxa"/>
              <w:right w:w="85" w:type="dxa"/>
            </w:tcMar>
            <w:hideMark/>
          </w:tcPr>
          <w:p w14:paraId="6B4E743A" w14:textId="4917F633" w:rsidR="009014AC" w:rsidRDefault="009014AC" w:rsidP="00345340">
            <w:pPr>
              <w:spacing w:after="120"/>
            </w:pPr>
            <w:r w:rsidRPr="00D55E90">
              <w:t>Review HR policies</w:t>
            </w:r>
            <w:r>
              <w:t xml:space="preserve">, </w:t>
            </w:r>
            <w:r w:rsidRPr="00D55E90">
              <w:t>procedures</w:t>
            </w:r>
            <w:r>
              <w:t xml:space="preserve"> and management guidelines</w:t>
            </w:r>
            <w:r w:rsidRPr="00D55E90">
              <w:t xml:space="preserve"> to improve disability inclusion and access, prioritising:</w:t>
            </w:r>
          </w:p>
          <w:p w14:paraId="4A10E750" w14:textId="43C3511E" w:rsidR="009014AC" w:rsidRPr="00E36301" w:rsidRDefault="009014AC" w:rsidP="009014AC">
            <w:pPr>
              <w:pStyle w:val="ListParagraph"/>
              <w:numPr>
                <w:ilvl w:val="0"/>
                <w:numId w:val="19"/>
              </w:numPr>
              <w:rPr>
                <w:bCs/>
                <w:color w:val="000000" w:themeColor="text1"/>
              </w:rPr>
            </w:pPr>
            <w:r w:rsidRPr="00E36301">
              <w:t xml:space="preserve">Recruitment: </w:t>
            </w:r>
            <w:r>
              <w:t>E</w:t>
            </w:r>
            <w:r w:rsidRPr="00E36301">
              <w:t>nsuring that candidates with disabilit</w:t>
            </w:r>
            <w:r w:rsidR="00B466DE">
              <w:t>y</w:t>
            </w:r>
            <w:r w:rsidRPr="00E36301">
              <w:t xml:space="preserve"> are not disadvantaged, are proactively supported, unconscious bias is minimised and discrimination eliminated</w:t>
            </w:r>
          </w:p>
          <w:p w14:paraId="7EA1B77A" w14:textId="370BCA29" w:rsidR="009014AC" w:rsidRPr="00E36301" w:rsidRDefault="009014AC" w:rsidP="009014AC">
            <w:pPr>
              <w:pStyle w:val="ListParagraph"/>
              <w:numPr>
                <w:ilvl w:val="0"/>
                <w:numId w:val="19"/>
              </w:numPr>
              <w:rPr>
                <w:bCs/>
                <w:color w:val="000000" w:themeColor="text1"/>
              </w:rPr>
            </w:pPr>
            <w:r w:rsidRPr="00E36301">
              <w:t xml:space="preserve">Flexible work: </w:t>
            </w:r>
            <w:r>
              <w:t>S</w:t>
            </w:r>
            <w:r w:rsidRPr="00E36301">
              <w:t>pecify availability of adjustments/accommodations for people with disabilit</w:t>
            </w:r>
            <w:r w:rsidR="00B466DE">
              <w:t>y</w:t>
            </w:r>
            <w:r>
              <w:t>,</w:t>
            </w:r>
            <w:r w:rsidRPr="00E36301">
              <w:t xml:space="preserve"> and those with carer responsibilities for people with disabilit</w:t>
            </w:r>
            <w:r w:rsidR="00B466DE">
              <w:t>y</w:t>
            </w:r>
          </w:p>
          <w:p w14:paraId="48FB9D98" w14:textId="0500E64A" w:rsidR="009014AC" w:rsidRPr="00D55E90" w:rsidRDefault="00134B43" w:rsidP="009014AC">
            <w:pPr>
              <w:pStyle w:val="ListParagraph"/>
              <w:numPr>
                <w:ilvl w:val="0"/>
                <w:numId w:val="19"/>
              </w:numPr>
              <w:rPr>
                <w:bCs/>
                <w:color w:val="000000" w:themeColor="text1"/>
              </w:rPr>
            </w:pPr>
            <w:r>
              <w:t>W</w:t>
            </w:r>
            <w:r w:rsidR="009014AC" w:rsidRPr="00E36301">
              <w:t xml:space="preserve">orkload: </w:t>
            </w:r>
            <w:r w:rsidR="00FA7797">
              <w:t xml:space="preserve">Guide and facilitate </w:t>
            </w:r>
            <w:r w:rsidR="00576732">
              <w:t xml:space="preserve">determination of </w:t>
            </w:r>
            <w:r w:rsidR="00FA7797">
              <w:t>staff</w:t>
            </w:r>
            <w:r w:rsidR="009014AC" w:rsidRPr="00E36301">
              <w:t xml:space="preserve"> workload</w:t>
            </w:r>
            <w:r w:rsidR="00FA7797">
              <w:t>s</w:t>
            </w:r>
            <w:r w:rsidR="009014AC" w:rsidRPr="00E36301">
              <w:t xml:space="preserve"> to accommodate additional activities undertaken by staff with disabilit</w:t>
            </w:r>
            <w:r w:rsidR="00B466DE">
              <w:t>y</w:t>
            </w:r>
            <w:r w:rsidR="009014AC" w:rsidRPr="00E36301">
              <w:t>.</w:t>
            </w:r>
          </w:p>
        </w:tc>
        <w:tc>
          <w:tcPr>
            <w:tcW w:w="1487" w:type="dxa"/>
            <w:tcBorders>
              <w:top w:val="single" w:sz="4" w:space="0" w:color="auto"/>
              <w:left w:val="nil"/>
              <w:bottom w:val="single" w:sz="2" w:space="0" w:color="7F7F7F"/>
              <w:right w:val="nil"/>
            </w:tcBorders>
          </w:tcPr>
          <w:p w14:paraId="77D9B73E" w14:textId="161C2CDA" w:rsidR="009014AC" w:rsidRPr="00FA63D6" w:rsidRDefault="009014AC" w:rsidP="009014AC">
            <w:pPr>
              <w:jc w:val="center"/>
              <w:rPr>
                <w:lang w:val="en-AU"/>
              </w:rPr>
            </w:pPr>
            <w:r>
              <w:rPr>
                <w:lang w:val="en-AU"/>
              </w:rPr>
              <w:t>2023</w:t>
            </w:r>
          </w:p>
        </w:tc>
        <w:tc>
          <w:tcPr>
            <w:tcW w:w="2871" w:type="dxa"/>
            <w:tcBorders>
              <w:top w:val="single" w:sz="4" w:space="0" w:color="auto"/>
              <w:left w:val="nil"/>
              <w:bottom w:val="single" w:sz="2" w:space="0" w:color="7F7F7F"/>
              <w:right w:val="nil"/>
            </w:tcBorders>
            <w:shd w:val="clear" w:color="auto" w:fill="F2F2F2" w:themeFill="background1" w:themeFillShade="F2"/>
          </w:tcPr>
          <w:p w14:paraId="7657BC5B" w14:textId="02ECF389" w:rsidR="009014AC" w:rsidRPr="00BC320C" w:rsidRDefault="009014AC" w:rsidP="009014AC">
            <w:pPr>
              <w:jc w:val="center"/>
              <w:rPr>
                <w:lang w:val="en-AU"/>
              </w:rPr>
            </w:pPr>
            <w:r>
              <w:rPr>
                <w:rFonts w:ascii="Calibri" w:eastAsia="SimSun" w:hAnsi="Calibri" w:cs="Times New Roman"/>
                <w:szCs w:val="20"/>
              </w:rPr>
              <w:t>Chief Human Resources Officer</w:t>
            </w:r>
          </w:p>
        </w:tc>
      </w:tr>
      <w:tr w:rsidR="009014AC" w:rsidRPr="00BC320C" w14:paraId="7AFA0148" w14:textId="77777777" w:rsidTr="009014AC">
        <w:trPr>
          <w:trHeight w:val="411"/>
        </w:trPr>
        <w:tc>
          <w:tcPr>
            <w:tcW w:w="1985" w:type="dxa"/>
            <w:tcBorders>
              <w:top w:val="single" w:sz="2" w:space="0" w:color="7F7F7F"/>
              <w:left w:val="nil"/>
              <w:bottom w:val="single" w:sz="2" w:space="0" w:color="7F7F7F"/>
              <w:right w:val="nil"/>
            </w:tcBorders>
            <w:shd w:val="clear" w:color="auto" w:fill="E2EFE5"/>
            <w:tcMar>
              <w:top w:w="57" w:type="dxa"/>
              <w:left w:w="57" w:type="dxa"/>
              <w:bottom w:w="57" w:type="dxa"/>
              <w:right w:w="85" w:type="dxa"/>
            </w:tcMar>
            <w:hideMark/>
          </w:tcPr>
          <w:p w14:paraId="5D232965" w14:textId="0CF179E1" w:rsidR="009014AC" w:rsidRPr="00BC320C" w:rsidRDefault="009014AC" w:rsidP="009014AC">
            <w:r>
              <w:rPr>
                <w:b/>
                <w:bCs/>
                <w:lang w:val="en-AU"/>
              </w:rPr>
              <w:lastRenderedPageBreak/>
              <w:t>5</w:t>
            </w:r>
            <w:r w:rsidRPr="00BC320C">
              <w:rPr>
                <w:b/>
                <w:bCs/>
                <w:lang w:val="en-AU"/>
              </w:rPr>
              <w:t>.</w:t>
            </w:r>
            <w:r>
              <w:rPr>
                <w:b/>
                <w:bCs/>
                <w:lang w:val="en-AU"/>
              </w:rPr>
              <w:t>4</w:t>
            </w:r>
            <w:r w:rsidRPr="00BC320C">
              <w:rPr>
                <w:b/>
                <w:bCs/>
                <w:lang w:val="en-AU"/>
              </w:rPr>
              <w:t xml:space="preserve"> – </w:t>
            </w:r>
            <w:r>
              <w:rPr>
                <w:b/>
                <w:bCs/>
                <w:lang w:val="en-AU"/>
              </w:rPr>
              <w:t>Prioritis</w:t>
            </w:r>
            <w:r w:rsidR="00507832">
              <w:rPr>
                <w:b/>
                <w:bCs/>
                <w:lang w:val="en-AU"/>
              </w:rPr>
              <w:t>e</w:t>
            </w:r>
            <w:r>
              <w:rPr>
                <w:b/>
                <w:bCs/>
                <w:lang w:val="en-AU"/>
              </w:rPr>
              <w:t xml:space="preserve"> requests from staff with disabilit</w:t>
            </w:r>
            <w:r w:rsidR="00B466DE">
              <w:rPr>
                <w:b/>
                <w:bCs/>
                <w:lang w:val="en-AU"/>
              </w:rPr>
              <w:t>y</w:t>
            </w:r>
          </w:p>
        </w:tc>
        <w:tc>
          <w:tcPr>
            <w:tcW w:w="8402" w:type="dxa"/>
            <w:tcBorders>
              <w:top w:val="single" w:sz="2" w:space="0" w:color="7F7F7F"/>
              <w:left w:val="nil"/>
              <w:bottom w:val="single" w:sz="2" w:space="0" w:color="7F7F7F"/>
              <w:right w:val="nil"/>
            </w:tcBorders>
            <w:shd w:val="clear" w:color="auto" w:fill="auto"/>
            <w:tcMar>
              <w:top w:w="57" w:type="dxa"/>
              <w:left w:w="57" w:type="dxa"/>
              <w:bottom w:w="57" w:type="dxa"/>
              <w:right w:w="85" w:type="dxa"/>
            </w:tcMar>
            <w:hideMark/>
          </w:tcPr>
          <w:p w14:paraId="28F7F28A" w14:textId="4F260A2F" w:rsidR="009014AC" w:rsidRPr="005905F8" w:rsidRDefault="009014AC" w:rsidP="009014AC">
            <w:r w:rsidRPr="005905F8">
              <w:t>Implement a system to prioritise requests from staff with disabilit</w:t>
            </w:r>
            <w:r w:rsidR="00B466DE">
              <w:t>y</w:t>
            </w:r>
            <w:r w:rsidRPr="005905F8">
              <w:t>, where the request relates to the removal of a barrier to access and inclusion.</w:t>
            </w:r>
          </w:p>
        </w:tc>
        <w:tc>
          <w:tcPr>
            <w:tcW w:w="1487" w:type="dxa"/>
            <w:tcBorders>
              <w:top w:val="single" w:sz="2" w:space="0" w:color="7F7F7F"/>
              <w:left w:val="nil"/>
              <w:bottom w:val="single" w:sz="2" w:space="0" w:color="7F7F7F"/>
              <w:right w:val="nil"/>
            </w:tcBorders>
          </w:tcPr>
          <w:p w14:paraId="4B2072B9" w14:textId="0530EB34" w:rsidR="009014AC" w:rsidRDefault="009014AC" w:rsidP="009014AC">
            <w:pPr>
              <w:jc w:val="center"/>
              <w:rPr>
                <w:lang w:val="en-AU"/>
              </w:rPr>
            </w:pPr>
            <w:r>
              <w:rPr>
                <w:lang w:val="en-AU"/>
              </w:rPr>
              <w:t>2024</w:t>
            </w:r>
          </w:p>
        </w:tc>
        <w:tc>
          <w:tcPr>
            <w:tcW w:w="2871" w:type="dxa"/>
            <w:tcBorders>
              <w:top w:val="single" w:sz="2" w:space="0" w:color="7F7F7F"/>
              <w:left w:val="nil"/>
              <w:bottom w:val="single" w:sz="2" w:space="0" w:color="7F7F7F"/>
              <w:right w:val="nil"/>
            </w:tcBorders>
            <w:shd w:val="clear" w:color="auto" w:fill="F2F2F2" w:themeFill="background1" w:themeFillShade="F2"/>
          </w:tcPr>
          <w:p w14:paraId="36DDEDD6" w14:textId="21567C10" w:rsidR="009014AC" w:rsidRPr="00BC320C" w:rsidRDefault="009014AC" w:rsidP="009014AC">
            <w:pPr>
              <w:jc w:val="center"/>
              <w:rPr>
                <w:lang w:val="en-AU"/>
              </w:rPr>
            </w:pPr>
            <w:r>
              <w:rPr>
                <w:rFonts w:ascii="Calibri" w:eastAsia="SimSun" w:hAnsi="Calibri" w:cs="Times New Roman"/>
                <w:szCs w:val="20"/>
              </w:rPr>
              <w:t>Executive Director Business Services</w:t>
            </w:r>
          </w:p>
        </w:tc>
      </w:tr>
      <w:tr w:rsidR="009014AC" w14:paraId="697755D3" w14:textId="77777777" w:rsidTr="009014AC">
        <w:trPr>
          <w:trHeight w:val="715"/>
        </w:trPr>
        <w:tc>
          <w:tcPr>
            <w:tcW w:w="1985" w:type="dxa"/>
            <w:tcBorders>
              <w:top w:val="single" w:sz="2" w:space="0" w:color="7F7F7F"/>
              <w:left w:val="nil"/>
              <w:bottom w:val="single" w:sz="2" w:space="0" w:color="7F7F7F"/>
              <w:right w:val="nil"/>
            </w:tcBorders>
            <w:shd w:val="clear" w:color="auto" w:fill="E2EFE5"/>
            <w:tcMar>
              <w:top w:w="57" w:type="dxa"/>
              <w:left w:w="57" w:type="dxa"/>
              <w:bottom w:w="57" w:type="dxa"/>
              <w:right w:w="85" w:type="dxa"/>
            </w:tcMar>
          </w:tcPr>
          <w:p w14:paraId="64101F7D" w14:textId="1B68F713" w:rsidR="009014AC" w:rsidRPr="00BC320C" w:rsidRDefault="009014AC" w:rsidP="009014AC">
            <w:pPr>
              <w:rPr>
                <w:b/>
                <w:bCs/>
                <w:lang w:val="en-AU"/>
              </w:rPr>
            </w:pPr>
            <w:r>
              <w:rPr>
                <w:b/>
                <w:bCs/>
                <w:lang w:val="en-AU"/>
              </w:rPr>
              <w:t>5</w:t>
            </w:r>
            <w:r w:rsidRPr="00BC320C">
              <w:rPr>
                <w:b/>
                <w:bCs/>
                <w:lang w:val="en-AU"/>
              </w:rPr>
              <w:t>.</w:t>
            </w:r>
            <w:r>
              <w:rPr>
                <w:b/>
                <w:bCs/>
                <w:lang w:val="en-AU"/>
              </w:rPr>
              <w:t xml:space="preserve">5 </w:t>
            </w:r>
            <w:r w:rsidRPr="00BC320C">
              <w:rPr>
                <w:b/>
                <w:bCs/>
                <w:lang w:val="en-AU"/>
              </w:rPr>
              <w:t>–</w:t>
            </w:r>
            <w:r>
              <w:rPr>
                <w:b/>
                <w:bCs/>
                <w:lang w:val="en-AU"/>
              </w:rPr>
              <w:t xml:space="preserve"> Career progression for staff with disabilit</w:t>
            </w:r>
            <w:r w:rsidR="00B466DE">
              <w:rPr>
                <w:b/>
                <w:bCs/>
                <w:lang w:val="en-AU"/>
              </w:rPr>
              <w:t>y</w:t>
            </w:r>
          </w:p>
        </w:tc>
        <w:tc>
          <w:tcPr>
            <w:tcW w:w="8402" w:type="dxa"/>
            <w:tcBorders>
              <w:top w:val="single" w:sz="2" w:space="0" w:color="7F7F7F"/>
              <w:left w:val="nil"/>
              <w:bottom w:val="single" w:sz="2" w:space="0" w:color="7F7F7F"/>
              <w:right w:val="nil"/>
            </w:tcBorders>
            <w:shd w:val="clear" w:color="auto" w:fill="auto"/>
            <w:tcMar>
              <w:top w:w="57" w:type="dxa"/>
              <w:left w:w="57" w:type="dxa"/>
              <w:bottom w:w="57" w:type="dxa"/>
              <w:right w:w="85" w:type="dxa"/>
            </w:tcMar>
          </w:tcPr>
          <w:p w14:paraId="5E83F605" w14:textId="039E0D32" w:rsidR="009014AC" w:rsidRDefault="009014AC" w:rsidP="00345340">
            <w:pPr>
              <w:spacing w:after="120" w:line="240" w:lineRule="auto"/>
            </w:pPr>
            <w:r w:rsidRPr="007C522C">
              <w:t xml:space="preserve">Promote career progression for academic and professional staff </w:t>
            </w:r>
            <w:r w:rsidR="00E12AFC">
              <w:t>with disabilit</w:t>
            </w:r>
            <w:r w:rsidR="00B466DE">
              <w:t>y</w:t>
            </w:r>
            <w:r w:rsidRPr="007C522C">
              <w:t xml:space="preserve"> by:</w:t>
            </w:r>
          </w:p>
          <w:p w14:paraId="3514D5B4" w14:textId="69858EC7" w:rsidR="00B33671" w:rsidRDefault="008E3EA5" w:rsidP="00B33671">
            <w:pPr>
              <w:pStyle w:val="ListParagraph"/>
              <w:numPr>
                <w:ilvl w:val="0"/>
                <w:numId w:val="20"/>
              </w:numPr>
              <w:spacing w:line="240" w:lineRule="auto"/>
            </w:pPr>
            <w:r>
              <w:t>For a</w:t>
            </w:r>
            <w:r w:rsidR="002C0E00">
              <w:t>cademic</w:t>
            </w:r>
            <w:r w:rsidR="00463854">
              <w:t xml:space="preserve"> staff</w:t>
            </w:r>
            <w:r w:rsidR="002C0E00">
              <w:t>:</w:t>
            </w:r>
            <w:r w:rsidR="00384A36">
              <w:t xml:space="preserve"> </w:t>
            </w:r>
            <w:r w:rsidR="006F5D98">
              <w:t>Proactively support career development and e</w:t>
            </w:r>
            <w:r w:rsidR="009912A9">
              <w:t xml:space="preserve">mbed informed knowledge of </w:t>
            </w:r>
            <w:r w:rsidR="00754476">
              <w:t xml:space="preserve">performance relative to opportunity </w:t>
            </w:r>
            <w:r w:rsidR="00D62658">
              <w:t>into confirmation</w:t>
            </w:r>
            <w:r w:rsidR="00E417DE">
              <w:t>, performance reviews</w:t>
            </w:r>
            <w:r w:rsidR="00344175">
              <w:t>, career development</w:t>
            </w:r>
            <w:r w:rsidR="00E417DE">
              <w:t xml:space="preserve"> and promotion</w:t>
            </w:r>
            <w:r w:rsidR="00344175">
              <w:t xml:space="preserve"> processes</w:t>
            </w:r>
          </w:p>
          <w:p w14:paraId="2C51CEE4" w14:textId="71455371" w:rsidR="009014AC" w:rsidRPr="0004747D" w:rsidRDefault="008E3EA5" w:rsidP="00485ECA">
            <w:pPr>
              <w:pStyle w:val="ListParagraph"/>
              <w:numPr>
                <w:ilvl w:val="0"/>
                <w:numId w:val="20"/>
              </w:numPr>
              <w:spacing w:line="240" w:lineRule="auto"/>
            </w:pPr>
            <w:r>
              <w:t>For p</w:t>
            </w:r>
            <w:r w:rsidR="00463854">
              <w:t>rofessional staff:</w:t>
            </w:r>
            <w:r w:rsidR="00384A36">
              <w:t xml:space="preserve"> Proactively support career development and career enri</w:t>
            </w:r>
            <w:r w:rsidR="00574DF0">
              <w:t>c</w:t>
            </w:r>
            <w:r w:rsidR="00384A36">
              <w:t>hment</w:t>
            </w:r>
            <w:r w:rsidR="00C10E19">
              <w:t xml:space="preserve">, and </w:t>
            </w:r>
            <w:r w:rsidR="00B55D88">
              <w:t xml:space="preserve">guidelines on </w:t>
            </w:r>
            <w:r w:rsidR="00277E20">
              <w:t xml:space="preserve">assessing performance </w:t>
            </w:r>
            <w:r w:rsidR="00505469">
              <w:t>relative to opportunity</w:t>
            </w:r>
            <w:r w:rsidR="00B240B0">
              <w:t xml:space="preserve"> for staff with disabilit</w:t>
            </w:r>
            <w:r w:rsidR="00B466DE">
              <w:t>y</w:t>
            </w:r>
            <w:r w:rsidR="00B240B0">
              <w:t>.</w:t>
            </w:r>
          </w:p>
        </w:tc>
        <w:tc>
          <w:tcPr>
            <w:tcW w:w="1487" w:type="dxa"/>
            <w:tcBorders>
              <w:top w:val="single" w:sz="2" w:space="0" w:color="7F7F7F"/>
              <w:left w:val="nil"/>
              <w:bottom w:val="single" w:sz="2" w:space="0" w:color="7F7F7F"/>
              <w:right w:val="nil"/>
            </w:tcBorders>
          </w:tcPr>
          <w:p w14:paraId="597ABF78" w14:textId="5B1F4814" w:rsidR="009014AC" w:rsidRDefault="009014AC" w:rsidP="009014AC">
            <w:pPr>
              <w:jc w:val="center"/>
              <w:rPr>
                <w:lang w:val="en-AU"/>
              </w:rPr>
            </w:pPr>
            <w:r>
              <w:rPr>
                <w:lang w:val="en-AU"/>
              </w:rPr>
              <w:t>2024</w:t>
            </w:r>
          </w:p>
        </w:tc>
        <w:tc>
          <w:tcPr>
            <w:tcW w:w="2871" w:type="dxa"/>
            <w:tcBorders>
              <w:top w:val="single" w:sz="2" w:space="0" w:color="7F7F7F"/>
              <w:left w:val="nil"/>
              <w:bottom w:val="single" w:sz="2" w:space="0" w:color="7F7F7F"/>
              <w:right w:val="nil"/>
            </w:tcBorders>
            <w:shd w:val="clear" w:color="auto" w:fill="F2F2F2" w:themeFill="background1" w:themeFillShade="F2"/>
          </w:tcPr>
          <w:p w14:paraId="0DC1474F" w14:textId="61D97849" w:rsidR="00A10407" w:rsidRDefault="00A10407" w:rsidP="00122E50">
            <w:pPr>
              <w:jc w:val="center"/>
              <w:rPr>
                <w:lang w:val="en-AU"/>
              </w:rPr>
            </w:pPr>
            <w:r>
              <w:rPr>
                <w:lang w:val="en-AU"/>
              </w:rPr>
              <w:t>Deputy Vice</w:t>
            </w:r>
            <w:r w:rsidR="002E0333">
              <w:rPr>
                <w:lang w:val="en-AU"/>
              </w:rPr>
              <w:t>-</w:t>
            </w:r>
            <w:r>
              <w:rPr>
                <w:lang w:val="en-AU"/>
              </w:rPr>
              <w:t xml:space="preserve">Chancellor (People &amp; Community) </w:t>
            </w:r>
          </w:p>
          <w:p w14:paraId="6CD84892" w14:textId="6714926F" w:rsidR="00122E50" w:rsidRDefault="00122E50" w:rsidP="00122E50">
            <w:pPr>
              <w:jc w:val="center"/>
              <w:rPr>
                <w:lang w:val="en-AU"/>
              </w:rPr>
            </w:pPr>
            <w:r>
              <w:rPr>
                <w:lang w:val="en-AU"/>
              </w:rPr>
              <w:t>Deputy Vice</w:t>
            </w:r>
            <w:r w:rsidR="002E0333">
              <w:rPr>
                <w:lang w:val="en-AU"/>
              </w:rPr>
              <w:t>-</w:t>
            </w:r>
            <w:r>
              <w:rPr>
                <w:lang w:val="en-AU"/>
              </w:rPr>
              <w:t>Chancellor (Academic</w:t>
            </w:r>
            <w:r w:rsidR="00A10407">
              <w:rPr>
                <w:lang w:val="en-AU"/>
              </w:rPr>
              <w:t>)</w:t>
            </w:r>
          </w:p>
          <w:p w14:paraId="551032BD" w14:textId="327619D7" w:rsidR="009014AC" w:rsidRPr="001C3998" w:rsidRDefault="009014AC" w:rsidP="001C3998">
            <w:pPr>
              <w:jc w:val="center"/>
              <w:rPr>
                <w:rFonts w:ascii="Calibri" w:eastAsia="SimSun" w:hAnsi="Calibri" w:cs="Times New Roman"/>
                <w:szCs w:val="20"/>
              </w:rPr>
            </w:pPr>
            <w:r>
              <w:rPr>
                <w:rFonts w:ascii="Calibri" w:eastAsia="SimSun" w:hAnsi="Calibri" w:cs="Times New Roman"/>
                <w:szCs w:val="20"/>
              </w:rPr>
              <w:t>Chief Human Resources Officer</w:t>
            </w:r>
          </w:p>
        </w:tc>
      </w:tr>
      <w:tr w:rsidR="009014AC" w14:paraId="19F39E14" w14:textId="77777777" w:rsidTr="009014AC">
        <w:trPr>
          <w:trHeight w:val="715"/>
        </w:trPr>
        <w:tc>
          <w:tcPr>
            <w:tcW w:w="1985" w:type="dxa"/>
            <w:tcBorders>
              <w:top w:val="single" w:sz="2" w:space="0" w:color="7F7F7F"/>
              <w:left w:val="nil"/>
              <w:bottom w:val="single" w:sz="2" w:space="0" w:color="7F7F7F"/>
              <w:right w:val="nil"/>
            </w:tcBorders>
            <w:shd w:val="clear" w:color="auto" w:fill="E2EFE5"/>
            <w:tcMar>
              <w:top w:w="57" w:type="dxa"/>
              <w:left w:w="57" w:type="dxa"/>
              <w:bottom w:w="57" w:type="dxa"/>
              <w:right w:w="85" w:type="dxa"/>
            </w:tcMar>
          </w:tcPr>
          <w:p w14:paraId="0AAAA03A" w14:textId="5282FD4A" w:rsidR="009014AC" w:rsidRDefault="009014AC" w:rsidP="009014AC">
            <w:pPr>
              <w:rPr>
                <w:b/>
                <w:bCs/>
                <w:lang w:val="en-AU"/>
              </w:rPr>
            </w:pPr>
            <w:r>
              <w:rPr>
                <w:b/>
                <w:bCs/>
                <w:lang w:val="en-AU"/>
              </w:rPr>
              <w:t>5.6 – Data collection and reporting</w:t>
            </w:r>
          </w:p>
        </w:tc>
        <w:tc>
          <w:tcPr>
            <w:tcW w:w="8402" w:type="dxa"/>
            <w:tcBorders>
              <w:top w:val="single" w:sz="2" w:space="0" w:color="7F7F7F"/>
              <w:left w:val="nil"/>
              <w:bottom w:val="single" w:sz="2" w:space="0" w:color="7F7F7F"/>
              <w:right w:val="nil"/>
            </w:tcBorders>
            <w:shd w:val="clear" w:color="auto" w:fill="auto"/>
            <w:tcMar>
              <w:top w:w="57" w:type="dxa"/>
              <w:left w:w="57" w:type="dxa"/>
              <w:bottom w:w="57" w:type="dxa"/>
              <w:right w:w="85" w:type="dxa"/>
            </w:tcMar>
          </w:tcPr>
          <w:p w14:paraId="4ED182F9" w14:textId="297AC015" w:rsidR="009014AC" w:rsidRPr="00142345" w:rsidRDefault="009014AC" w:rsidP="009014AC">
            <w:pPr>
              <w:spacing w:after="0" w:line="240" w:lineRule="auto"/>
            </w:pPr>
            <w:r>
              <w:t xml:space="preserve">Explore and assemble a mechanism to collect data to monitor shifts in </w:t>
            </w:r>
            <w:r w:rsidRPr="00142345">
              <w:t>recruitment, retention, progression and experience of staff with disabilit</w:t>
            </w:r>
            <w:r w:rsidR="00B466DE">
              <w:t>y</w:t>
            </w:r>
            <w:r w:rsidRPr="00142345">
              <w:t>.</w:t>
            </w:r>
          </w:p>
        </w:tc>
        <w:tc>
          <w:tcPr>
            <w:tcW w:w="1487" w:type="dxa"/>
            <w:tcBorders>
              <w:top w:val="single" w:sz="2" w:space="0" w:color="7F7F7F"/>
              <w:left w:val="nil"/>
              <w:bottom w:val="single" w:sz="2" w:space="0" w:color="7F7F7F"/>
              <w:right w:val="nil"/>
            </w:tcBorders>
          </w:tcPr>
          <w:p w14:paraId="569A633F" w14:textId="04782F26" w:rsidR="009014AC" w:rsidRDefault="009014AC" w:rsidP="009014AC">
            <w:pPr>
              <w:jc w:val="center"/>
              <w:rPr>
                <w:lang w:val="en-AU"/>
              </w:rPr>
            </w:pPr>
            <w:r>
              <w:rPr>
                <w:lang w:val="en-AU"/>
              </w:rPr>
              <w:t>2024</w:t>
            </w:r>
          </w:p>
        </w:tc>
        <w:tc>
          <w:tcPr>
            <w:tcW w:w="2871" w:type="dxa"/>
            <w:tcBorders>
              <w:top w:val="single" w:sz="2" w:space="0" w:color="7F7F7F"/>
              <w:left w:val="nil"/>
              <w:bottom w:val="single" w:sz="2" w:space="0" w:color="7F7F7F"/>
              <w:right w:val="nil"/>
            </w:tcBorders>
            <w:shd w:val="clear" w:color="auto" w:fill="F2F2F2" w:themeFill="background1" w:themeFillShade="F2"/>
          </w:tcPr>
          <w:p w14:paraId="5E1F57F1" w14:textId="77777777" w:rsidR="009014AC" w:rsidRDefault="009014AC" w:rsidP="00393A04">
            <w:pPr>
              <w:jc w:val="center"/>
              <w:rPr>
                <w:rFonts w:ascii="Calibri" w:eastAsia="SimSun" w:hAnsi="Calibri" w:cs="Times New Roman"/>
                <w:szCs w:val="20"/>
              </w:rPr>
            </w:pPr>
            <w:r>
              <w:rPr>
                <w:rFonts w:ascii="Calibri" w:eastAsia="SimSun" w:hAnsi="Calibri" w:cs="Times New Roman"/>
                <w:szCs w:val="20"/>
              </w:rPr>
              <w:t>Chief Human Resources Officer</w:t>
            </w:r>
          </w:p>
          <w:p w14:paraId="7BDE4B17" w14:textId="3716EB25" w:rsidR="009014AC" w:rsidRDefault="009014AC" w:rsidP="00393A04">
            <w:pPr>
              <w:jc w:val="center"/>
              <w:rPr>
                <w:rFonts w:ascii="Calibri" w:eastAsia="SimSun" w:hAnsi="Calibri" w:cs="Times New Roman"/>
                <w:szCs w:val="20"/>
              </w:rPr>
            </w:pPr>
          </w:p>
        </w:tc>
      </w:tr>
    </w:tbl>
    <w:p w14:paraId="22245F57" w14:textId="77777777" w:rsidR="00321243" w:rsidRDefault="00321243" w:rsidP="00321243">
      <w:pPr>
        <w:sectPr w:rsidR="00321243" w:rsidSect="008C564B">
          <w:pgSz w:w="15840" w:h="12240" w:orient="landscape"/>
          <w:pgMar w:top="1440" w:right="1440" w:bottom="1440" w:left="1440" w:header="720" w:footer="720" w:gutter="0"/>
          <w:cols w:space="720"/>
          <w:docGrid w:linePitch="360"/>
        </w:sectPr>
      </w:pPr>
    </w:p>
    <w:p w14:paraId="6FEE292B" w14:textId="77777777" w:rsidR="00434D8D" w:rsidRPr="00434D8D" w:rsidRDefault="00434D8D" w:rsidP="00434D8D">
      <w:pPr>
        <w:pageBreakBefore/>
        <w:framePr w:w="11907" w:wrap="around" w:vAnchor="page" w:hAnchor="page" w:yAlign="top" w:anchorLock="1"/>
        <w:spacing w:after="240" w:line="264" w:lineRule="auto"/>
        <w:rPr>
          <w:rFonts w:ascii="Calibri" w:eastAsia="SimSun" w:hAnsi="Calibri" w:cs="Times New Roman"/>
          <w:noProof/>
          <w:sz w:val="24"/>
          <w:lang w:val="en-AU"/>
        </w:rPr>
      </w:pPr>
      <w:r w:rsidRPr="00434D8D">
        <w:rPr>
          <w:rFonts w:ascii="Calibri" w:eastAsia="SimSun" w:hAnsi="Calibri" w:cs="Times New Roman"/>
          <w:noProof/>
          <w:sz w:val="24"/>
          <w:lang w:val="en-AU"/>
        </w:rPr>
        <w:lastRenderedPageBreak/>
        <mc:AlternateContent>
          <mc:Choice Requires="wps">
            <w:drawing>
              <wp:inline distT="0" distB="0" distL="0" distR="0" wp14:anchorId="095FD989" wp14:editId="06A62787">
                <wp:extent cx="5504180" cy="6551930"/>
                <wp:effectExtent l="0" t="0" r="1270" b="1270"/>
                <wp:docPr id="52" name="Shape-back page">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504180" cy="6551930"/>
                        </a:xfrm>
                        <a:custGeom>
                          <a:avLst/>
                          <a:gdLst>
                            <a:gd name="connsiteX0" fmla="*/ 0 w 4141470"/>
                            <a:gd name="connsiteY0" fmla="*/ 0 h 6553200"/>
                            <a:gd name="connsiteX1" fmla="*/ 4141470 w 4141470"/>
                            <a:gd name="connsiteY1" fmla="*/ 0 h 6553200"/>
                            <a:gd name="connsiteX2" fmla="*/ 4141470 w 4141470"/>
                            <a:gd name="connsiteY2" fmla="*/ 6553200 h 6553200"/>
                            <a:gd name="connsiteX3" fmla="*/ 0 w 4141470"/>
                            <a:gd name="connsiteY3" fmla="*/ 6553200 h 6553200"/>
                            <a:gd name="connsiteX4" fmla="*/ 0 w 4141470"/>
                            <a:gd name="connsiteY4" fmla="*/ 0 h 6553200"/>
                            <a:gd name="connsiteX0" fmla="*/ 0 w 5504105"/>
                            <a:gd name="connsiteY0" fmla="*/ 0 h 6553200"/>
                            <a:gd name="connsiteX1" fmla="*/ 4141470 w 5504105"/>
                            <a:gd name="connsiteY1" fmla="*/ 0 h 6553200"/>
                            <a:gd name="connsiteX2" fmla="*/ 5504105 w 5504105"/>
                            <a:gd name="connsiteY2" fmla="*/ 5060576 h 6553200"/>
                            <a:gd name="connsiteX3" fmla="*/ 0 w 5504105"/>
                            <a:gd name="connsiteY3" fmla="*/ 6553200 h 6553200"/>
                            <a:gd name="connsiteX4" fmla="*/ 0 w 5504105"/>
                            <a:gd name="connsiteY4" fmla="*/ 0 h 65532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504105" h="6553200">
                              <a:moveTo>
                                <a:pt x="0" y="0"/>
                              </a:moveTo>
                              <a:lnTo>
                                <a:pt x="4141470" y="0"/>
                              </a:lnTo>
                              <a:lnTo>
                                <a:pt x="5504105" y="5060576"/>
                              </a:lnTo>
                              <a:lnTo>
                                <a:pt x="0" y="6553200"/>
                              </a:lnTo>
                              <a:lnTo>
                                <a:pt x="0" y="0"/>
                              </a:lnTo>
                              <a:close/>
                            </a:path>
                          </a:pathLst>
                        </a:custGeom>
                        <a:blipFill dpi="0" rotWithShape="1">
                          <a:blip r:embed="rId17"/>
                          <a:srcRect/>
                          <a:tile tx="0" ty="0" sx="45000" sy="45000" flip="none" algn="tl"/>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C58EA2F" id="Shape-back page" o:spid="_x0000_s1026" alt="&quot;&quot;" style="width:433.4pt;height:515.9pt;visibility:visible;mso-wrap-style:square;mso-left-percent:-10001;mso-top-percent:-10001;mso-position-horizontal:absolute;mso-position-horizontal-relative:char;mso-position-vertical:absolute;mso-position-vertical-relative:line;mso-left-percent:-10001;mso-top-percent:-10001;v-text-anchor:middle" coordsize="5504105,65532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" path="m,l4141470,,5504105,5060576,,6553200,,xe" stroked="f" strokeweight="1pt">
                <v:fill r:id="rId18" o:title="" recolor="t" rotate="t" type="tile"/>
                <v:stroke joinstyle="miter"/>
                <v:path arrowok="t" o:connecttype="custom" o:connectlocs="0,0;4141526,0;5504180,5059595;0,6551930;0,0" o:connectangles="0,0,0,0,0"/>
                <w10:anchorlock/>
              </v:shape>
            </w:pict>
          </mc:Fallback>
        </mc:AlternateContent>
      </w:r>
    </w:p>
    <w:p w14:paraId="1EAE4332" w14:textId="0CE02F81" w:rsidR="00434D8D" w:rsidRPr="00434D8D" w:rsidRDefault="00434D8D" w:rsidP="00434D8D">
      <w:pPr>
        <w:spacing w:after="120" w:line="264" w:lineRule="auto"/>
        <w:rPr>
          <w:rFonts w:ascii="Calibri" w:eastAsia="SimSun" w:hAnsi="Calibri" w:cs="Times New Roman"/>
          <w:sz w:val="24"/>
          <w:lang w:val="en-AU"/>
        </w:rPr>
      </w:pPr>
    </w:p>
    <w:p w14:paraId="1E54A737" w14:textId="16F54862" w:rsidR="00434D8D" w:rsidRPr="00434D8D" w:rsidRDefault="00434D8D" w:rsidP="00434D8D">
      <w:pPr>
        <w:spacing w:after="240" w:line="264" w:lineRule="auto"/>
        <w:rPr>
          <w:rFonts w:ascii="Calibri" w:eastAsia="SimSun" w:hAnsi="Calibri" w:cs="Times New Roman"/>
          <w:sz w:val="24"/>
          <w:lang w:val="en-AU"/>
        </w:rPr>
      </w:pPr>
      <w:r w:rsidRPr="00434D8D">
        <w:rPr>
          <w:rFonts w:ascii="Calibri" w:eastAsia="SimSun" w:hAnsi="Calibri" w:cs="Times New Roman"/>
          <w:noProof/>
          <w:sz w:val="24"/>
          <w:lang w:val="en-AU"/>
        </w:rPr>
        <w:drawing>
          <wp:inline distT="0" distB="0" distL="0" distR="0" wp14:anchorId="24059790" wp14:editId="5AE69138">
            <wp:extent cx="1257300" cy="1257300"/>
            <wp:effectExtent l="0" t="0" r="0" b="0"/>
            <wp:docPr id="54" name="Logo-back page">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Logo-back page">
                      <a:extLst>
                        <a:ext uri="{C183D7F6-B498-43B3-948B-1728B52AA6E4}">
                          <adec:decorative xmlns:adec="http://schemas.microsoft.com/office/drawing/2017/decorative" val="1"/>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inline>
        </w:drawing>
      </w:r>
    </w:p>
    <w:p w14:paraId="47A3E04B" w14:textId="529B8F30" w:rsidR="00DB1380" w:rsidRDefault="00DB1380"/>
    <w:sectPr w:rsidR="00DB1380" w:rsidSect="008C564B">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C2E215" w14:textId="77777777" w:rsidR="00581B23" w:rsidRDefault="00581B23" w:rsidP="00434D8D">
      <w:pPr>
        <w:spacing w:after="0" w:line="240" w:lineRule="auto"/>
      </w:pPr>
      <w:r>
        <w:separator/>
      </w:r>
    </w:p>
  </w:endnote>
  <w:endnote w:type="continuationSeparator" w:id="0">
    <w:p w14:paraId="13695979" w14:textId="77777777" w:rsidR="00581B23" w:rsidRDefault="00581B23" w:rsidP="00434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9E3AF" w14:textId="4C702947" w:rsidR="006138DF" w:rsidRDefault="006138DF" w:rsidP="00DA262E">
    <w:pPr>
      <w:pStyle w:val="Footer"/>
    </w:pPr>
    <w:r>
      <w:rPr>
        <w:noProof/>
      </w:rPr>
      <mc:AlternateContent>
        <mc:Choice Requires="wps">
          <w:drawing>
            <wp:anchor distT="0" distB="0" distL="114300" distR="114300" simplePos="0" relativeHeight="251656192" behindDoc="0" locked="1" layoutInCell="1" allowOverlap="1" wp14:anchorId="735046EB" wp14:editId="70FA8304">
              <wp:simplePos x="0" y="0"/>
              <wp:positionH relativeFrom="margin">
                <wp:align>left</wp:align>
              </wp:positionH>
              <wp:positionV relativeFrom="margin">
                <wp:align>bottom</wp:align>
              </wp:positionV>
              <wp:extent cx="9252000" cy="0"/>
              <wp:effectExtent l="0" t="0" r="0" b="0"/>
              <wp:wrapNone/>
              <wp:docPr id="35" name="Keyline">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9252000" cy="0"/>
                      </a:xfrm>
                      <a:prstGeom prst="line">
                        <a:avLst/>
                      </a:prstGeom>
                      <a:noFill/>
                      <a:ln w="6350" cap="flat" cmpd="sng" algn="ctr">
                        <a:solidFill>
                          <a:srgbClr val="094183"/>
                        </a:solidFill>
                        <a:prstDash val="solid"/>
                        <a:miter lim="800000"/>
                      </a:ln>
                      <a:effectLst/>
                    </wps:spPr>
                    <wps:bodyPr/>
                  </wps:wsp>
                </a:graphicData>
              </a:graphic>
              <wp14:sizeRelH relativeFrom="margin">
                <wp14:pctWidth>0</wp14:pctWidth>
              </wp14:sizeRelH>
            </wp:anchor>
          </w:drawing>
        </mc:Choice>
        <mc:Fallback>
          <w:pict>
            <v:line w14:anchorId="169B475F" id="Keyline" o:spid="_x0000_s1026" alt="&quot;&quot;" style="position:absolute;z-index:251656192;visibility:visible;mso-wrap-style:square;mso-width-percent:0;mso-wrap-distance-left:9pt;mso-wrap-distance-top:0;mso-wrap-distance-right:9pt;mso-wrap-distance-bottom:0;mso-position-horizontal:left;mso-position-horizontal-relative:margin;mso-position-vertical:bottom;mso-position-vertical-relative:margin;mso-width-percent:0;mso-width-relative:margin" from="0,0" to="72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" strokecolor="#094183" strokeweight=".5pt">
              <v:stroke joinstyle="miter"/>
              <w10:wrap anchorx="margin" anchory="margin"/>
              <w10:anchorlock/>
            </v:line>
          </w:pict>
        </mc:Fallback>
      </mc:AlternateContent>
    </w:r>
    <w:sdt>
      <w:sdtPr>
        <w:alias w:val="Title"/>
        <w:tag w:val=""/>
        <w:id w:val="-1062175500"/>
        <w:placeholder>
          <w:docPart w:val="FA675EB59B0346798B6FBEF29DF1BEF8"/>
        </w:placeholder>
        <w:dataBinding w:prefixMappings="xmlns:ns0='http://purl.org/dc/elements/1.1/' xmlns:ns1='http://schemas.openxmlformats.org/package/2006/metadata/core-properties' " w:xpath="/ns1:coreProperties[1]/ns0:title[1]" w:storeItemID="{6C3C8BC8-F283-45AE-878A-BAB7291924A1}"/>
        <w:text/>
      </w:sdtPr>
      <w:sdtEndPr/>
      <w:sdtContent>
        <w:r w:rsidR="00843F09">
          <w:t>Disability Inclusion Action Plan</w:t>
        </w:r>
        <w:r w:rsidR="00595458">
          <w:t xml:space="preserve"> (DIAP)</w:t>
        </w:r>
        <w:r w:rsidR="00843F09">
          <w:t xml:space="preserve"> 2023 - 2026</w:t>
        </w:r>
      </w:sdtContent>
    </w:sdt>
  </w:p>
  <w:p w14:paraId="26609A9A" w14:textId="77777777" w:rsidR="006138DF" w:rsidRPr="00F372BF" w:rsidRDefault="006138DF" w:rsidP="00DA262E">
    <w:pPr>
      <w:pStyle w:val="Footerright"/>
      <w:framePr w:wrap="around"/>
    </w:pPr>
    <w:r w:rsidRPr="009E7861">
      <w:t xml:space="preserve">Page </w:t>
    </w:r>
    <w:r w:rsidRPr="009E7861">
      <w:fldChar w:fldCharType="begin"/>
    </w:r>
    <w:r w:rsidRPr="009E7861">
      <w:instrText xml:space="preserve"> PAGE  \* Arabic  \* MERGEFORMAT </w:instrText>
    </w:r>
    <w:r w:rsidRPr="009E7861">
      <w:fldChar w:fldCharType="separate"/>
    </w:r>
    <w:r>
      <w:rPr>
        <w:noProof/>
      </w:rPr>
      <w:t>11</w:t>
    </w:r>
    <w:r w:rsidRPr="009E7861">
      <w:fldChar w:fldCharType="end"/>
    </w:r>
    <w:r w:rsidRPr="009E7861">
      <w:t xml:space="preserve"> of </w:t>
    </w:r>
    <w:r w:rsidR="0069102B">
      <w:fldChar w:fldCharType="begin"/>
    </w:r>
    <w:r w:rsidR="0069102B">
      <w:instrText>NUMPAGES  \* Arabic  \* MERGEFORMAT</w:instrText>
    </w:r>
    <w:r w:rsidR="0069102B">
      <w:fldChar w:fldCharType="separate"/>
    </w:r>
    <w:r>
      <w:rPr>
        <w:noProof/>
      </w:rPr>
      <w:t>11</w:t>
    </w:r>
    <w:r w:rsidR="0069102B">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7FD24" w14:textId="72AE7520" w:rsidR="006138DF" w:rsidRDefault="0069102B" w:rsidP="00DA262E">
    <w:pPr>
      <w:pStyle w:val="Footer"/>
    </w:pPr>
    <w:sdt>
      <w:sdtPr>
        <w:rPr>
          <w:b/>
          <w:bCs/>
        </w:rPr>
        <w:alias w:val="Identifier-first line"/>
        <w:tag w:val=""/>
        <w:id w:val="-428814612"/>
        <w:placeholder>
          <w:docPart w:val="1C1CB73F1784415EBFCC802444A9B4F5"/>
        </w:placeholder>
        <w:showingPlcHdr/>
        <w:dataBinding w:prefixMappings="xmlns:ns0='http://purl.org/dc/elements/1.1/' xmlns:ns1='http://schemas.openxmlformats.org/package/2006/metadata/core-properties' " w:xpath="/ns1:coreProperties[1]/ns1:category[1]" w:storeItemID="{6C3C8BC8-F283-45AE-878A-BAB7291924A1}"/>
        <w:text/>
      </w:sdtPr>
      <w:sdtEndPr/>
      <w:sdtContent>
        <w:r w:rsidR="00821D4A" w:rsidRPr="00136C29">
          <w:rPr>
            <w:b/>
            <w:bCs/>
            <w:highlight w:val="lightGray"/>
          </w:rPr>
          <w:t>[Identifier-first line]</w:t>
        </w:r>
      </w:sdtContent>
    </w:sdt>
    <w:r w:rsidR="006138DF">
      <w:t xml:space="preserve"> | </w:t>
    </w:r>
    <w:sdt>
      <w:sdtPr>
        <w:alias w:val="Title"/>
        <w:tag w:val=""/>
        <w:id w:val="-1372608235"/>
        <w:placeholder>
          <w:docPart w:val="A45131FE613A48A392009E423B8BF788"/>
        </w:placeholder>
        <w:dataBinding w:prefixMappings="xmlns:ns0='http://purl.org/dc/elements/1.1/' xmlns:ns1='http://schemas.openxmlformats.org/package/2006/metadata/core-properties' " w:xpath="/ns1:coreProperties[1]/ns0:title[1]" w:storeItemID="{6C3C8BC8-F283-45AE-878A-BAB7291924A1}"/>
        <w:text/>
      </w:sdtPr>
      <w:sdtEndPr/>
      <w:sdtContent>
        <w:r w:rsidR="00595458">
          <w:t>Disability Inclusion Action Plan (DIAP) 2023 - 2026</w:t>
        </w:r>
      </w:sdtContent>
    </w:sdt>
  </w:p>
  <w:p w14:paraId="65573C4C" w14:textId="77777777" w:rsidR="006138DF" w:rsidRPr="009E7861" w:rsidRDefault="006138DF" w:rsidP="00DA262E">
    <w:pPr>
      <w:pStyle w:val="Footerright"/>
      <w:framePr w:wrap="around"/>
    </w:pPr>
    <w:r w:rsidRPr="009E7861">
      <w:t xml:space="preserve">Page </w:t>
    </w:r>
    <w:r w:rsidRPr="009E7861">
      <w:fldChar w:fldCharType="begin"/>
    </w:r>
    <w:r w:rsidRPr="009E7861">
      <w:instrText xml:space="preserve"> PAGE  \* Arabic  \* MERGEFORMAT </w:instrText>
    </w:r>
    <w:r w:rsidRPr="009E7861">
      <w:fldChar w:fldCharType="separate"/>
    </w:r>
    <w:r>
      <w:rPr>
        <w:noProof/>
      </w:rPr>
      <w:t>1</w:t>
    </w:r>
    <w:r w:rsidRPr="009E7861">
      <w:fldChar w:fldCharType="end"/>
    </w:r>
    <w:r w:rsidRPr="009E7861">
      <w:t xml:space="preserve"> of </w:t>
    </w:r>
    <w:r w:rsidR="0069102B">
      <w:fldChar w:fldCharType="begin"/>
    </w:r>
    <w:r w:rsidR="0069102B">
      <w:instrText>NUMPAGES  \* Arabic  \* MERGEFORMAT</w:instrText>
    </w:r>
    <w:r w:rsidR="0069102B">
      <w:fldChar w:fldCharType="separate"/>
    </w:r>
    <w:r>
      <w:rPr>
        <w:noProof/>
      </w:rPr>
      <w:t>11</w:t>
    </w:r>
    <w:r w:rsidR="0069102B">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1D9B8" w14:textId="77777777" w:rsidR="00581B23" w:rsidRDefault="00581B23" w:rsidP="00434D8D">
      <w:pPr>
        <w:spacing w:after="0" w:line="240" w:lineRule="auto"/>
      </w:pPr>
      <w:r>
        <w:separator/>
      </w:r>
    </w:p>
  </w:footnote>
  <w:footnote w:type="continuationSeparator" w:id="0">
    <w:p w14:paraId="3CE9CE95" w14:textId="77777777" w:rsidR="00581B23" w:rsidRDefault="00581B23" w:rsidP="00434D8D">
      <w:pPr>
        <w:spacing w:after="0" w:line="240" w:lineRule="auto"/>
      </w:pPr>
      <w:r>
        <w:continuationSeparator/>
      </w:r>
    </w:p>
  </w:footnote>
  <w:footnote w:id="1">
    <w:p w14:paraId="5B12A486" w14:textId="1E5FDCAF" w:rsidR="00C818F0" w:rsidRPr="00E32873" w:rsidRDefault="00C818F0" w:rsidP="00C818F0">
      <w:pPr>
        <w:pStyle w:val="paragraph"/>
        <w:spacing w:before="0" w:beforeAutospacing="0" w:after="120" w:afterAutospacing="0"/>
        <w:textAlignment w:val="baseline"/>
        <w:rPr>
          <w:sz w:val="18"/>
          <w:szCs w:val="18"/>
        </w:rPr>
      </w:pPr>
      <w:r w:rsidRPr="00AD2D05">
        <w:rPr>
          <w:rStyle w:val="FootnoteReference"/>
          <w:rFonts w:asciiTheme="minorHAnsi" w:hAnsiTheme="minorHAnsi" w:cstheme="minorHAnsi"/>
          <w:sz w:val="20"/>
          <w:szCs w:val="20"/>
        </w:rPr>
        <w:footnoteRef/>
      </w:r>
      <w:r w:rsidRPr="00AD2D05">
        <w:rPr>
          <w:rFonts w:asciiTheme="minorHAnsi" w:hAnsiTheme="minorHAnsi" w:cstheme="minorHAnsi"/>
          <w:sz w:val="20"/>
          <w:szCs w:val="20"/>
        </w:rPr>
        <w:t xml:space="preserve"> </w:t>
      </w:r>
      <w:r w:rsidRPr="00AD2D05">
        <w:rPr>
          <w:rStyle w:val="normaltextrun"/>
          <w:rFonts w:asciiTheme="minorHAnsi" w:hAnsiTheme="minorHAnsi" w:cstheme="minorHAnsi"/>
          <w:sz w:val="20"/>
          <w:szCs w:val="20"/>
          <w:lang w:val="en-AU"/>
        </w:rPr>
        <w:t>The University of Melbourne accepts the biopsychosocial model of disability</w:t>
      </w:r>
      <w:r>
        <w:rPr>
          <w:rStyle w:val="normaltextrun"/>
          <w:rFonts w:asciiTheme="minorHAnsi" w:hAnsiTheme="minorHAnsi" w:cstheme="minorHAnsi"/>
          <w:sz w:val="20"/>
          <w:szCs w:val="20"/>
          <w:lang w:val="en-AU"/>
        </w:rPr>
        <w:t xml:space="preserve"> from the </w:t>
      </w:r>
      <w:hyperlink r:id="rId1" w:history="1">
        <w:r w:rsidRPr="00FC7E17">
          <w:rPr>
            <w:rStyle w:val="Hyperlink"/>
            <w:rFonts w:asciiTheme="minorHAnsi" w:hAnsiTheme="minorHAnsi" w:cstheme="minorHAnsi"/>
            <w:sz w:val="20"/>
            <w:szCs w:val="20"/>
          </w:rPr>
          <w:t>United Nations Convention on the Rights of Persons with Disabilities</w:t>
        </w:r>
      </w:hyperlink>
      <w:r w:rsidR="005B5906">
        <w:rPr>
          <w:rFonts w:asciiTheme="minorHAnsi" w:hAnsiTheme="minorHAnsi" w:cstheme="minorHAnsi"/>
          <w:sz w:val="20"/>
          <w:szCs w:val="20"/>
        </w:rPr>
        <w:t>.</w:t>
      </w:r>
    </w:p>
  </w:footnote>
  <w:footnote w:id="2">
    <w:p w14:paraId="753EA249" w14:textId="0B4FF6DF" w:rsidR="00C818F0" w:rsidRPr="006A31C6" w:rsidRDefault="00C818F0" w:rsidP="00C818F0">
      <w:pPr>
        <w:pStyle w:val="paragraph"/>
        <w:spacing w:before="0" w:beforeAutospacing="0" w:after="0" w:afterAutospacing="0"/>
        <w:textAlignment w:val="baseline"/>
        <w:rPr>
          <w:rStyle w:val="normaltextrun"/>
          <w:rFonts w:ascii="Calibri" w:hAnsi="Calibri" w:cs="Calibri"/>
          <w:lang w:val="en-AU"/>
        </w:rPr>
      </w:pPr>
      <w:r w:rsidRPr="00AD2D05">
        <w:rPr>
          <w:rStyle w:val="FootnoteReference"/>
          <w:rFonts w:asciiTheme="minorHAnsi" w:hAnsiTheme="minorHAnsi" w:cstheme="minorHAnsi"/>
          <w:sz w:val="20"/>
          <w:szCs w:val="20"/>
        </w:rPr>
        <w:footnoteRef/>
      </w:r>
      <w:r w:rsidRPr="00AD2D05">
        <w:rPr>
          <w:sz w:val="20"/>
          <w:szCs w:val="20"/>
        </w:rPr>
        <w:t xml:space="preserve"> </w:t>
      </w:r>
      <w:r w:rsidRPr="00AD2D05">
        <w:rPr>
          <w:rStyle w:val="normaltextrun"/>
          <w:rFonts w:ascii="Calibri" w:hAnsi="Calibri" w:cs="Calibri"/>
          <w:sz w:val="20"/>
          <w:szCs w:val="20"/>
          <w:lang w:val="en-AU"/>
        </w:rPr>
        <w:t xml:space="preserve">Throughout this </w:t>
      </w:r>
      <w:r>
        <w:rPr>
          <w:rStyle w:val="normaltextrun"/>
          <w:rFonts w:ascii="Calibri" w:hAnsi="Calibri" w:cs="Calibri"/>
          <w:sz w:val="20"/>
          <w:szCs w:val="20"/>
          <w:lang w:val="en-AU"/>
        </w:rPr>
        <w:t>document the phrase ‘people with disabilit</w:t>
      </w:r>
      <w:r w:rsidR="00B466DE">
        <w:rPr>
          <w:rStyle w:val="normaltextrun"/>
          <w:rFonts w:ascii="Calibri" w:hAnsi="Calibri" w:cs="Calibri"/>
          <w:sz w:val="20"/>
          <w:szCs w:val="20"/>
          <w:lang w:val="en-AU"/>
        </w:rPr>
        <w:t>y</w:t>
      </w:r>
      <w:r>
        <w:rPr>
          <w:rStyle w:val="normaltextrun"/>
          <w:rFonts w:ascii="Calibri" w:hAnsi="Calibri" w:cs="Calibri"/>
          <w:sz w:val="20"/>
          <w:szCs w:val="20"/>
          <w:lang w:val="en-AU"/>
        </w:rPr>
        <w:t xml:space="preserve">’ includes </w:t>
      </w:r>
      <w:r w:rsidRPr="00AD2D05">
        <w:rPr>
          <w:rStyle w:val="normaltextrun"/>
          <w:rFonts w:ascii="Calibri" w:hAnsi="Calibri" w:cs="Calibri"/>
          <w:sz w:val="20"/>
          <w:szCs w:val="20"/>
          <w:lang w:val="en-AU"/>
        </w:rPr>
        <w:t>people who have lived experience of disability, chronic health condition, mental health condition, and/or their carers.</w:t>
      </w:r>
      <w:r w:rsidRPr="006A31C6">
        <w:rPr>
          <w:rStyle w:val="normaltextrun"/>
          <w:rFonts w:ascii="Calibri" w:hAnsi="Calibri" w:cs="Calibri"/>
          <w:lang w:val="en-AU"/>
        </w:rPr>
        <w:t xml:space="preserve"> </w:t>
      </w:r>
    </w:p>
    <w:p w14:paraId="7EE4C327" w14:textId="77777777" w:rsidR="00C818F0" w:rsidRDefault="00C818F0" w:rsidP="00C818F0">
      <w:pPr>
        <w:pStyle w:val="FootnoteText"/>
      </w:pPr>
    </w:p>
  </w:footnote>
  <w:footnote w:id="3">
    <w:p w14:paraId="6AE0FB54" w14:textId="77777777" w:rsidR="009014AC" w:rsidRPr="006B3B92" w:rsidRDefault="009014AC" w:rsidP="00AA07F7">
      <w:pPr>
        <w:spacing w:after="120"/>
        <w:rPr>
          <w:rFonts w:cs="Arial"/>
          <w:szCs w:val="20"/>
        </w:rPr>
      </w:pPr>
      <w:r>
        <w:rPr>
          <w:rStyle w:val="FootnoteReference"/>
        </w:rPr>
        <w:footnoteRef/>
      </w:r>
      <w:r>
        <w:t xml:space="preserve"> </w:t>
      </w:r>
      <w:r w:rsidRPr="006B3B92">
        <w:rPr>
          <w:rFonts w:eastAsia="Arial" w:cs="Arial"/>
          <w:szCs w:val="20"/>
        </w:rPr>
        <w:t>Inherent requirements,</w:t>
      </w:r>
      <w:r w:rsidRPr="00570A13">
        <w:rPr>
          <w:rFonts w:eastAsia="Arial" w:cs="Arial"/>
          <w:szCs w:val="20"/>
        </w:rPr>
        <w:t xml:space="preserve"> </w:t>
      </w:r>
      <w:r w:rsidRPr="00570A13">
        <w:rPr>
          <w:rFonts w:cs="Arial"/>
          <w:szCs w:val="20"/>
        </w:rPr>
        <w:t>in the study context, are the fundamental tasks of a program</w:t>
      </w:r>
      <w:r>
        <w:rPr>
          <w:rFonts w:cs="Arial"/>
          <w:szCs w:val="20"/>
        </w:rPr>
        <w:t>/course/subject</w:t>
      </w:r>
      <w:r w:rsidRPr="00570A13">
        <w:rPr>
          <w:rFonts w:cs="Arial"/>
          <w:szCs w:val="20"/>
        </w:rPr>
        <w:t xml:space="preserve"> that require students to demonstrate </w:t>
      </w:r>
      <w:r>
        <w:rPr>
          <w:rFonts w:cs="Arial"/>
          <w:szCs w:val="20"/>
        </w:rPr>
        <w:t>their</w:t>
      </w:r>
      <w:r w:rsidRPr="00570A13">
        <w:rPr>
          <w:rFonts w:cs="Arial"/>
          <w:szCs w:val="20"/>
        </w:rPr>
        <w:t xml:space="preserve"> abilities during </w:t>
      </w:r>
      <w:r>
        <w:rPr>
          <w:rFonts w:cs="Arial"/>
          <w:szCs w:val="20"/>
        </w:rPr>
        <w:t>any</w:t>
      </w:r>
      <w:r w:rsidRPr="00570A13">
        <w:rPr>
          <w:rFonts w:cs="Arial"/>
          <w:szCs w:val="20"/>
        </w:rPr>
        <w:t xml:space="preserve"> learning activities. They are not entry requirements, accreditation requirements</w:t>
      </w:r>
      <w:r>
        <w:rPr>
          <w:rFonts w:cs="Arial"/>
          <w:szCs w:val="20"/>
        </w:rPr>
        <w:t>, learning outcomes</w:t>
      </w:r>
      <w:r w:rsidRPr="00570A13">
        <w:rPr>
          <w:rFonts w:cs="Arial"/>
          <w:szCs w:val="20"/>
        </w:rPr>
        <w:t xml:space="preserve"> or legal, ethical or health requirements.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55809"/>
    <w:multiLevelType w:val="hybridMultilevel"/>
    <w:tmpl w:val="C26899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DC7349"/>
    <w:multiLevelType w:val="hybridMultilevel"/>
    <w:tmpl w:val="1658AF66"/>
    <w:lvl w:ilvl="0" w:tplc="4E627242">
      <w:start w:val="1"/>
      <w:numFmt w:val="lowerLetter"/>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3D35E72"/>
    <w:multiLevelType w:val="hybridMultilevel"/>
    <w:tmpl w:val="716240E6"/>
    <w:lvl w:ilvl="0" w:tplc="3ADA3782">
      <w:start w:val="1"/>
      <w:numFmt w:val="lowerLetter"/>
      <w:lvlText w:val="%1."/>
      <w:lvlJc w:val="left"/>
      <w:pPr>
        <w:ind w:left="360" w:hanging="360"/>
      </w:pPr>
      <w:rPr>
        <w:rFonts w:hint="default"/>
        <w:b/>
        <w:bCs/>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56B0F0F"/>
    <w:multiLevelType w:val="hybridMultilevel"/>
    <w:tmpl w:val="EE06EE2C"/>
    <w:lvl w:ilvl="0" w:tplc="8BAE12CC">
      <w:start w:val="1"/>
      <w:numFmt w:val="lowerLetter"/>
      <w:lvlText w:val="%1."/>
      <w:lvlJc w:val="left"/>
      <w:pPr>
        <w:ind w:left="360" w:hanging="360"/>
      </w:pPr>
      <w:rPr>
        <w:rFonts w:hint="default"/>
        <w:b/>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7125F2A"/>
    <w:multiLevelType w:val="multilevel"/>
    <w:tmpl w:val="D3CA7C72"/>
    <w:lvl w:ilvl="0">
      <w:start w:val="1"/>
      <w:numFmt w:val="decimal"/>
      <w:lvlText w:val="%1."/>
      <w:lvlJc w:val="left"/>
      <w:pPr>
        <w:ind w:left="360" w:hanging="360"/>
      </w:pPr>
      <w:rPr>
        <w:b/>
        <w:bCs/>
      </w:rPr>
    </w:lvl>
    <w:lvl w:ilvl="1">
      <w:start w:val="9"/>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440" w:hanging="1440"/>
      </w:pPr>
      <w:rPr>
        <w:rFonts w:hint="default"/>
        <w:b/>
      </w:rPr>
    </w:lvl>
  </w:abstractNum>
  <w:abstractNum w:abstractNumId="5" w15:restartNumberingAfterBreak="0">
    <w:nsid w:val="10D90DD3"/>
    <w:multiLevelType w:val="hybridMultilevel"/>
    <w:tmpl w:val="F35220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4DB53E2"/>
    <w:multiLevelType w:val="hybridMultilevel"/>
    <w:tmpl w:val="CD7CA8CC"/>
    <w:lvl w:ilvl="0" w:tplc="24C4DEDA">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15E10A1F"/>
    <w:multiLevelType w:val="hybridMultilevel"/>
    <w:tmpl w:val="EFEE1C7C"/>
    <w:lvl w:ilvl="0" w:tplc="2C644EEC">
      <w:start w:val="1"/>
      <w:numFmt w:val="lowerLetter"/>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DC36D7B"/>
    <w:multiLevelType w:val="hybridMultilevel"/>
    <w:tmpl w:val="4FD2A7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02B498D"/>
    <w:multiLevelType w:val="hybridMultilevel"/>
    <w:tmpl w:val="B2E466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C1319EC"/>
    <w:multiLevelType w:val="hybridMultilevel"/>
    <w:tmpl w:val="99944C32"/>
    <w:lvl w:ilvl="0" w:tplc="93D03BE8">
      <w:start w:val="1"/>
      <w:numFmt w:val="lowerLetter"/>
      <w:lvlText w:val="%1."/>
      <w:lvlJc w:val="left"/>
      <w:pPr>
        <w:ind w:left="360" w:hanging="360"/>
      </w:pPr>
      <w:rPr>
        <w:rFonts w:hint="default"/>
        <w:b/>
        <w:bCs/>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41F53BE"/>
    <w:multiLevelType w:val="multilevel"/>
    <w:tmpl w:val="31F847D2"/>
    <w:lvl w:ilvl="0">
      <w:start w:val="1"/>
      <w:numFmt w:val="decimal"/>
      <w:lvlText w:val="%1."/>
      <w:lvlJc w:val="left"/>
      <w:pPr>
        <w:ind w:left="360" w:hanging="360"/>
      </w:pPr>
      <w:rPr>
        <w:b/>
        <w:bCs/>
      </w:rPr>
    </w:lvl>
    <w:lvl w:ilvl="1">
      <w:start w:val="5"/>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12" w15:restartNumberingAfterBreak="0">
    <w:nsid w:val="37382144"/>
    <w:multiLevelType w:val="hybridMultilevel"/>
    <w:tmpl w:val="A8F651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D4C429A"/>
    <w:multiLevelType w:val="hybridMultilevel"/>
    <w:tmpl w:val="AA782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311FCC"/>
    <w:multiLevelType w:val="hybridMultilevel"/>
    <w:tmpl w:val="6AE673BE"/>
    <w:lvl w:ilvl="0" w:tplc="C5B2CBE2">
      <w:start w:val="1"/>
      <w:numFmt w:val="lowerLetter"/>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7F01512"/>
    <w:multiLevelType w:val="hybridMultilevel"/>
    <w:tmpl w:val="FE8A89B2"/>
    <w:lvl w:ilvl="0" w:tplc="FC9EF718">
      <w:start w:val="1"/>
      <w:numFmt w:val="lowerLetter"/>
      <w:lvlText w:val="%1."/>
      <w:lvlJc w:val="left"/>
      <w:pPr>
        <w:ind w:left="360" w:hanging="360"/>
      </w:pPr>
      <w:rPr>
        <w:rFonts w:hint="default"/>
        <w:b/>
        <w:bCs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A531DBE"/>
    <w:multiLevelType w:val="hybridMultilevel"/>
    <w:tmpl w:val="61569346"/>
    <w:lvl w:ilvl="0" w:tplc="478047AC">
      <w:start w:val="1"/>
      <w:numFmt w:val="lowerLetter"/>
      <w:lvlText w:val="%1."/>
      <w:lvlJc w:val="left"/>
      <w:pPr>
        <w:tabs>
          <w:tab w:val="num" w:pos="360"/>
        </w:tabs>
        <w:ind w:left="360" w:hanging="360"/>
      </w:pPr>
      <w:rPr>
        <w:rFonts w:hint="default"/>
        <w:b/>
        <w:bCs/>
      </w:rPr>
    </w:lvl>
    <w:lvl w:ilvl="1" w:tplc="EA8457C4" w:tentative="1">
      <w:start w:val="1"/>
      <w:numFmt w:val="bullet"/>
      <w:lvlText w:val=""/>
      <w:lvlJc w:val="left"/>
      <w:pPr>
        <w:tabs>
          <w:tab w:val="num" w:pos="1080"/>
        </w:tabs>
        <w:ind w:left="1080" w:hanging="360"/>
      </w:pPr>
      <w:rPr>
        <w:rFonts w:ascii="Symbol" w:hAnsi="Symbol" w:hint="default"/>
      </w:rPr>
    </w:lvl>
    <w:lvl w:ilvl="2" w:tplc="94F04F48" w:tentative="1">
      <w:start w:val="1"/>
      <w:numFmt w:val="bullet"/>
      <w:lvlText w:val=""/>
      <w:lvlJc w:val="left"/>
      <w:pPr>
        <w:tabs>
          <w:tab w:val="num" w:pos="1800"/>
        </w:tabs>
        <w:ind w:left="1800" w:hanging="360"/>
      </w:pPr>
      <w:rPr>
        <w:rFonts w:ascii="Symbol" w:hAnsi="Symbol" w:hint="default"/>
      </w:rPr>
    </w:lvl>
    <w:lvl w:ilvl="3" w:tplc="D5FCCE40" w:tentative="1">
      <w:start w:val="1"/>
      <w:numFmt w:val="bullet"/>
      <w:lvlText w:val=""/>
      <w:lvlJc w:val="left"/>
      <w:pPr>
        <w:tabs>
          <w:tab w:val="num" w:pos="2520"/>
        </w:tabs>
        <w:ind w:left="2520" w:hanging="360"/>
      </w:pPr>
      <w:rPr>
        <w:rFonts w:ascii="Symbol" w:hAnsi="Symbol" w:hint="default"/>
      </w:rPr>
    </w:lvl>
    <w:lvl w:ilvl="4" w:tplc="006A592C" w:tentative="1">
      <w:start w:val="1"/>
      <w:numFmt w:val="bullet"/>
      <w:lvlText w:val=""/>
      <w:lvlJc w:val="left"/>
      <w:pPr>
        <w:tabs>
          <w:tab w:val="num" w:pos="3240"/>
        </w:tabs>
        <w:ind w:left="3240" w:hanging="360"/>
      </w:pPr>
      <w:rPr>
        <w:rFonts w:ascii="Symbol" w:hAnsi="Symbol" w:hint="default"/>
      </w:rPr>
    </w:lvl>
    <w:lvl w:ilvl="5" w:tplc="77CC3972" w:tentative="1">
      <w:start w:val="1"/>
      <w:numFmt w:val="bullet"/>
      <w:lvlText w:val=""/>
      <w:lvlJc w:val="left"/>
      <w:pPr>
        <w:tabs>
          <w:tab w:val="num" w:pos="3960"/>
        </w:tabs>
        <w:ind w:left="3960" w:hanging="360"/>
      </w:pPr>
      <w:rPr>
        <w:rFonts w:ascii="Symbol" w:hAnsi="Symbol" w:hint="default"/>
      </w:rPr>
    </w:lvl>
    <w:lvl w:ilvl="6" w:tplc="124C5B96" w:tentative="1">
      <w:start w:val="1"/>
      <w:numFmt w:val="bullet"/>
      <w:lvlText w:val=""/>
      <w:lvlJc w:val="left"/>
      <w:pPr>
        <w:tabs>
          <w:tab w:val="num" w:pos="4680"/>
        </w:tabs>
        <w:ind w:left="4680" w:hanging="360"/>
      </w:pPr>
      <w:rPr>
        <w:rFonts w:ascii="Symbol" w:hAnsi="Symbol" w:hint="default"/>
      </w:rPr>
    </w:lvl>
    <w:lvl w:ilvl="7" w:tplc="E538441C" w:tentative="1">
      <w:start w:val="1"/>
      <w:numFmt w:val="bullet"/>
      <w:lvlText w:val=""/>
      <w:lvlJc w:val="left"/>
      <w:pPr>
        <w:tabs>
          <w:tab w:val="num" w:pos="5400"/>
        </w:tabs>
        <w:ind w:left="5400" w:hanging="360"/>
      </w:pPr>
      <w:rPr>
        <w:rFonts w:ascii="Symbol" w:hAnsi="Symbol" w:hint="default"/>
      </w:rPr>
    </w:lvl>
    <w:lvl w:ilvl="8" w:tplc="563000A0" w:tentative="1">
      <w:start w:val="1"/>
      <w:numFmt w:val="bullet"/>
      <w:lvlText w:val=""/>
      <w:lvlJc w:val="left"/>
      <w:pPr>
        <w:tabs>
          <w:tab w:val="num" w:pos="6120"/>
        </w:tabs>
        <w:ind w:left="6120" w:hanging="360"/>
      </w:pPr>
      <w:rPr>
        <w:rFonts w:ascii="Symbol" w:hAnsi="Symbol" w:hint="default"/>
      </w:rPr>
    </w:lvl>
  </w:abstractNum>
  <w:abstractNum w:abstractNumId="17" w15:restartNumberingAfterBreak="0">
    <w:nsid w:val="55543223"/>
    <w:multiLevelType w:val="hybridMultilevel"/>
    <w:tmpl w:val="7C80C642"/>
    <w:lvl w:ilvl="0" w:tplc="6DB2E656">
      <w:start w:val="1"/>
      <w:numFmt w:val="lowerLetter"/>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7924FD6"/>
    <w:multiLevelType w:val="hybridMultilevel"/>
    <w:tmpl w:val="25882B34"/>
    <w:lvl w:ilvl="0" w:tplc="B47A2FA8">
      <w:start w:val="1"/>
      <w:numFmt w:val="lowerLetter"/>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0073188"/>
    <w:multiLevelType w:val="hybridMultilevel"/>
    <w:tmpl w:val="85DE146E"/>
    <w:lvl w:ilvl="0" w:tplc="04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0" w15:restartNumberingAfterBreak="0">
    <w:nsid w:val="62633DFD"/>
    <w:multiLevelType w:val="hybridMultilevel"/>
    <w:tmpl w:val="9B78DF4C"/>
    <w:lvl w:ilvl="0" w:tplc="EBFA6268">
      <w:start w:val="1"/>
      <w:numFmt w:val="lowerLetter"/>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7073F13"/>
    <w:multiLevelType w:val="hybridMultilevel"/>
    <w:tmpl w:val="D63C66CC"/>
    <w:lvl w:ilvl="0" w:tplc="0568AECC">
      <w:start w:val="1"/>
      <w:numFmt w:val="lowerLetter"/>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82B785B"/>
    <w:multiLevelType w:val="hybridMultilevel"/>
    <w:tmpl w:val="0DBC609E"/>
    <w:lvl w:ilvl="0" w:tplc="04090019">
      <w:start w:val="1"/>
      <w:numFmt w:val="lowerLetter"/>
      <w:lvlText w:val="%1."/>
      <w:lvlJc w:val="left"/>
      <w:pPr>
        <w:ind w:left="360" w:hanging="360"/>
      </w:pPr>
      <w:rPr>
        <w:rFonts w:hint="default"/>
        <w:b/>
        <w:bCs/>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3" w15:restartNumberingAfterBreak="0">
    <w:nsid w:val="6A5C26E2"/>
    <w:multiLevelType w:val="hybridMultilevel"/>
    <w:tmpl w:val="E406632E"/>
    <w:lvl w:ilvl="0" w:tplc="4DD8B7BA">
      <w:start w:val="1"/>
      <w:numFmt w:val="bullet"/>
      <w:lvlText w:val=""/>
      <w:lvlJc w:val="left"/>
      <w:pPr>
        <w:ind w:left="1260" w:hanging="360"/>
      </w:pPr>
      <w:rPr>
        <w:rFonts w:ascii="Symbol" w:hAnsi="Symbol"/>
      </w:rPr>
    </w:lvl>
    <w:lvl w:ilvl="1" w:tplc="E6504E5C">
      <w:start w:val="1"/>
      <w:numFmt w:val="bullet"/>
      <w:lvlText w:val=""/>
      <w:lvlJc w:val="left"/>
      <w:pPr>
        <w:ind w:left="1260" w:hanging="360"/>
      </w:pPr>
      <w:rPr>
        <w:rFonts w:ascii="Symbol" w:hAnsi="Symbol"/>
      </w:rPr>
    </w:lvl>
    <w:lvl w:ilvl="2" w:tplc="94E20A02">
      <w:start w:val="1"/>
      <w:numFmt w:val="bullet"/>
      <w:lvlText w:val=""/>
      <w:lvlJc w:val="left"/>
      <w:pPr>
        <w:ind w:left="1260" w:hanging="360"/>
      </w:pPr>
      <w:rPr>
        <w:rFonts w:ascii="Symbol" w:hAnsi="Symbol"/>
      </w:rPr>
    </w:lvl>
    <w:lvl w:ilvl="3" w:tplc="31E8D886">
      <w:start w:val="1"/>
      <w:numFmt w:val="bullet"/>
      <w:lvlText w:val=""/>
      <w:lvlJc w:val="left"/>
      <w:pPr>
        <w:ind w:left="1260" w:hanging="360"/>
      </w:pPr>
      <w:rPr>
        <w:rFonts w:ascii="Symbol" w:hAnsi="Symbol"/>
      </w:rPr>
    </w:lvl>
    <w:lvl w:ilvl="4" w:tplc="1BDAE230">
      <w:start w:val="1"/>
      <w:numFmt w:val="bullet"/>
      <w:lvlText w:val=""/>
      <w:lvlJc w:val="left"/>
      <w:pPr>
        <w:ind w:left="1260" w:hanging="360"/>
      </w:pPr>
      <w:rPr>
        <w:rFonts w:ascii="Symbol" w:hAnsi="Symbol"/>
      </w:rPr>
    </w:lvl>
    <w:lvl w:ilvl="5" w:tplc="EE54B294">
      <w:start w:val="1"/>
      <w:numFmt w:val="bullet"/>
      <w:lvlText w:val=""/>
      <w:lvlJc w:val="left"/>
      <w:pPr>
        <w:ind w:left="1260" w:hanging="360"/>
      </w:pPr>
      <w:rPr>
        <w:rFonts w:ascii="Symbol" w:hAnsi="Symbol"/>
      </w:rPr>
    </w:lvl>
    <w:lvl w:ilvl="6" w:tplc="46409030">
      <w:start w:val="1"/>
      <w:numFmt w:val="bullet"/>
      <w:lvlText w:val=""/>
      <w:lvlJc w:val="left"/>
      <w:pPr>
        <w:ind w:left="1260" w:hanging="360"/>
      </w:pPr>
      <w:rPr>
        <w:rFonts w:ascii="Symbol" w:hAnsi="Symbol"/>
      </w:rPr>
    </w:lvl>
    <w:lvl w:ilvl="7" w:tplc="ECF27F24">
      <w:start w:val="1"/>
      <w:numFmt w:val="bullet"/>
      <w:lvlText w:val=""/>
      <w:lvlJc w:val="left"/>
      <w:pPr>
        <w:ind w:left="1260" w:hanging="360"/>
      </w:pPr>
      <w:rPr>
        <w:rFonts w:ascii="Symbol" w:hAnsi="Symbol"/>
      </w:rPr>
    </w:lvl>
    <w:lvl w:ilvl="8" w:tplc="22F8FF90">
      <w:start w:val="1"/>
      <w:numFmt w:val="bullet"/>
      <w:lvlText w:val=""/>
      <w:lvlJc w:val="left"/>
      <w:pPr>
        <w:ind w:left="1260" w:hanging="360"/>
      </w:pPr>
      <w:rPr>
        <w:rFonts w:ascii="Symbol" w:hAnsi="Symbol"/>
      </w:rPr>
    </w:lvl>
  </w:abstractNum>
  <w:abstractNum w:abstractNumId="24" w15:restartNumberingAfterBreak="0">
    <w:nsid w:val="6EAD41CE"/>
    <w:multiLevelType w:val="hybridMultilevel"/>
    <w:tmpl w:val="8B4200B6"/>
    <w:lvl w:ilvl="0" w:tplc="87987D9E">
      <w:start w:val="1"/>
      <w:numFmt w:val="lowerLetter"/>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2906050"/>
    <w:multiLevelType w:val="hybridMultilevel"/>
    <w:tmpl w:val="FDF0AAAA"/>
    <w:lvl w:ilvl="0" w:tplc="AC0CC29E">
      <w:start w:val="1"/>
      <w:numFmt w:val="lowerLetter"/>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60C055F"/>
    <w:multiLevelType w:val="multilevel"/>
    <w:tmpl w:val="5D20FC4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063482616">
    <w:abstractNumId w:val="8"/>
  </w:num>
  <w:num w:numId="2" w16cid:durableId="283318777">
    <w:abstractNumId w:val="9"/>
  </w:num>
  <w:num w:numId="3" w16cid:durableId="652413959">
    <w:abstractNumId w:val="6"/>
  </w:num>
  <w:num w:numId="4" w16cid:durableId="143398058">
    <w:abstractNumId w:val="5"/>
  </w:num>
  <w:num w:numId="5" w16cid:durableId="1669599949">
    <w:abstractNumId w:val="4"/>
  </w:num>
  <w:num w:numId="6" w16cid:durableId="1714890075">
    <w:abstractNumId w:val="19"/>
  </w:num>
  <w:num w:numId="7" w16cid:durableId="1905870516">
    <w:abstractNumId w:val="11"/>
  </w:num>
  <w:num w:numId="8" w16cid:durableId="764813873">
    <w:abstractNumId w:val="0"/>
  </w:num>
  <w:num w:numId="9" w16cid:durableId="1438989212">
    <w:abstractNumId w:val="20"/>
  </w:num>
  <w:num w:numId="10" w16cid:durableId="1898591707">
    <w:abstractNumId w:val="1"/>
  </w:num>
  <w:num w:numId="11" w16cid:durableId="1629168045">
    <w:abstractNumId w:val="7"/>
  </w:num>
  <w:num w:numId="12" w16cid:durableId="13579442">
    <w:abstractNumId w:val="14"/>
  </w:num>
  <w:num w:numId="13" w16cid:durableId="1973359792">
    <w:abstractNumId w:val="25"/>
  </w:num>
  <w:num w:numId="14" w16cid:durableId="954560977">
    <w:abstractNumId w:val="10"/>
  </w:num>
  <w:num w:numId="15" w16cid:durableId="411052203">
    <w:abstractNumId w:val="17"/>
  </w:num>
  <w:num w:numId="16" w16cid:durableId="1965304351">
    <w:abstractNumId w:val="2"/>
  </w:num>
  <w:num w:numId="17" w16cid:durableId="543325480">
    <w:abstractNumId w:val="13"/>
  </w:num>
  <w:num w:numId="18" w16cid:durableId="303587862">
    <w:abstractNumId w:val="22"/>
  </w:num>
  <w:num w:numId="19" w16cid:durableId="1679189599">
    <w:abstractNumId w:val="3"/>
  </w:num>
  <w:num w:numId="20" w16cid:durableId="2000380244">
    <w:abstractNumId w:val="15"/>
  </w:num>
  <w:num w:numId="21" w16cid:durableId="456800228">
    <w:abstractNumId w:val="12"/>
  </w:num>
  <w:num w:numId="22" w16cid:durableId="909770767">
    <w:abstractNumId w:val="16"/>
  </w:num>
  <w:num w:numId="23" w16cid:durableId="48890057">
    <w:abstractNumId w:val="23"/>
  </w:num>
  <w:num w:numId="24" w16cid:durableId="931551000">
    <w:abstractNumId w:val="26"/>
  </w:num>
  <w:num w:numId="25" w16cid:durableId="1772696668">
    <w:abstractNumId w:val="18"/>
  </w:num>
  <w:num w:numId="26" w16cid:durableId="999114625">
    <w:abstractNumId w:val="24"/>
  </w:num>
  <w:num w:numId="27" w16cid:durableId="869951636">
    <w:abstractNumId w:val="2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20C"/>
    <w:rsid w:val="00001AE3"/>
    <w:rsid w:val="00003A01"/>
    <w:rsid w:val="00003C90"/>
    <w:rsid w:val="000102B3"/>
    <w:rsid w:val="000106B8"/>
    <w:rsid w:val="00010EC9"/>
    <w:rsid w:val="000121F4"/>
    <w:rsid w:val="00013C78"/>
    <w:rsid w:val="000148C8"/>
    <w:rsid w:val="00017E73"/>
    <w:rsid w:val="00021777"/>
    <w:rsid w:val="000246B5"/>
    <w:rsid w:val="000256C6"/>
    <w:rsid w:val="0002576F"/>
    <w:rsid w:val="00025D70"/>
    <w:rsid w:val="00026894"/>
    <w:rsid w:val="000268F6"/>
    <w:rsid w:val="0003100E"/>
    <w:rsid w:val="00032CB7"/>
    <w:rsid w:val="00034997"/>
    <w:rsid w:val="000353D9"/>
    <w:rsid w:val="00035F91"/>
    <w:rsid w:val="00036D51"/>
    <w:rsid w:val="000370CA"/>
    <w:rsid w:val="00037640"/>
    <w:rsid w:val="00037B09"/>
    <w:rsid w:val="00040C5F"/>
    <w:rsid w:val="000410A3"/>
    <w:rsid w:val="000418BE"/>
    <w:rsid w:val="0004747D"/>
    <w:rsid w:val="00054A1F"/>
    <w:rsid w:val="00055E2A"/>
    <w:rsid w:val="00055FA5"/>
    <w:rsid w:val="00062BA5"/>
    <w:rsid w:val="00064F93"/>
    <w:rsid w:val="00067C16"/>
    <w:rsid w:val="00067E30"/>
    <w:rsid w:val="0007071C"/>
    <w:rsid w:val="0007099B"/>
    <w:rsid w:val="0007114C"/>
    <w:rsid w:val="00071645"/>
    <w:rsid w:val="00071AD9"/>
    <w:rsid w:val="000725FC"/>
    <w:rsid w:val="00072B37"/>
    <w:rsid w:val="00073F14"/>
    <w:rsid w:val="0007533B"/>
    <w:rsid w:val="0007600B"/>
    <w:rsid w:val="00077CDD"/>
    <w:rsid w:val="00077E8B"/>
    <w:rsid w:val="000805CB"/>
    <w:rsid w:val="000810A0"/>
    <w:rsid w:val="000817D0"/>
    <w:rsid w:val="000824FF"/>
    <w:rsid w:val="00083BD9"/>
    <w:rsid w:val="00083F1B"/>
    <w:rsid w:val="00084DD6"/>
    <w:rsid w:val="00085A75"/>
    <w:rsid w:val="00086556"/>
    <w:rsid w:val="00087FEF"/>
    <w:rsid w:val="0009017B"/>
    <w:rsid w:val="00091D7E"/>
    <w:rsid w:val="00093744"/>
    <w:rsid w:val="0009399E"/>
    <w:rsid w:val="00094D34"/>
    <w:rsid w:val="00094EF4"/>
    <w:rsid w:val="000959ED"/>
    <w:rsid w:val="000964D0"/>
    <w:rsid w:val="000A112B"/>
    <w:rsid w:val="000A27B7"/>
    <w:rsid w:val="000A2B1C"/>
    <w:rsid w:val="000A52B2"/>
    <w:rsid w:val="000A5690"/>
    <w:rsid w:val="000A578D"/>
    <w:rsid w:val="000A6D38"/>
    <w:rsid w:val="000A7A5A"/>
    <w:rsid w:val="000B0BAD"/>
    <w:rsid w:val="000B1453"/>
    <w:rsid w:val="000B1D6D"/>
    <w:rsid w:val="000B5679"/>
    <w:rsid w:val="000B5C3C"/>
    <w:rsid w:val="000B7388"/>
    <w:rsid w:val="000B7A15"/>
    <w:rsid w:val="000C0E33"/>
    <w:rsid w:val="000C20B5"/>
    <w:rsid w:val="000C4243"/>
    <w:rsid w:val="000C4ABB"/>
    <w:rsid w:val="000C599A"/>
    <w:rsid w:val="000C6E39"/>
    <w:rsid w:val="000D0A94"/>
    <w:rsid w:val="000D16FC"/>
    <w:rsid w:val="000D18ED"/>
    <w:rsid w:val="000D22F3"/>
    <w:rsid w:val="000D29F9"/>
    <w:rsid w:val="000D2CCD"/>
    <w:rsid w:val="000D515D"/>
    <w:rsid w:val="000D7398"/>
    <w:rsid w:val="000E4204"/>
    <w:rsid w:val="000E4A2C"/>
    <w:rsid w:val="000E7DFA"/>
    <w:rsid w:val="000F033C"/>
    <w:rsid w:val="000F4FCE"/>
    <w:rsid w:val="000F5DFB"/>
    <w:rsid w:val="000F7A2C"/>
    <w:rsid w:val="00101868"/>
    <w:rsid w:val="001028E3"/>
    <w:rsid w:val="001030A6"/>
    <w:rsid w:val="00103958"/>
    <w:rsid w:val="00104551"/>
    <w:rsid w:val="00104B62"/>
    <w:rsid w:val="00105A07"/>
    <w:rsid w:val="00105DC8"/>
    <w:rsid w:val="00106C05"/>
    <w:rsid w:val="001104BA"/>
    <w:rsid w:val="001109FA"/>
    <w:rsid w:val="00111BAA"/>
    <w:rsid w:val="0011355E"/>
    <w:rsid w:val="00114931"/>
    <w:rsid w:val="00114F94"/>
    <w:rsid w:val="00115451"/>
    <w:rsid w:val="00115B98"/>
    <w:rsid w:val="00116E1D"/>
    <w:rsid w:val="0011770B"/>
    <w:rsid w:val="00121870"/>
    <w:rsid w:val="00122372"/>
    <w:rsid w:val="00122E50"/>
    <w:rsid w:val="001237AD"/>
    <w:rsid w:val="00124567"/>
    <w:rsid w:val="00125B9A"/>
    <w:rsid w:val="00125ECE"/>
    <w:rsid w:val="00126906"/>
    <w:rsid w:val="00132683"/>
    <w:rsid w:val="001341C9"/>
    <w:rsid w:val="00134B43"/>
    <w:rsid w:val="001365EE"/>
    <w:rsid w:val="00136C0C"/>
    <w:rsid w:val="00136C29"/>
    <w:rsid w:val="00140279"/>
    <w:rsid w:val="001402B2"/>
    <w:rsid w:val="00140721"/>
    <w:rsid w:val="00141846"/>
    <w:rsid w:val="00142345"/>
    <w:rsid w:val="00142A35"/>
    <w:rsid w:val="001441FE"/>
    <w:rsid w:val="00145445"/>
    <w:rsid w:val="0014589B"/>
    <w:rsid w:val="00145D9A"/>
    <w:rsid w:val="00147CDD"/>
    <w:rsid w:val="001502F7"/>
    <w:rsid w:val="001514D3"/>
    <w:rsid w:val="00151C6B"/>
    <w:rsid w:val="001538C7"/>
    <w:rsid w:val="001553DE"/>
    <w:rsid w:val="00155C13"/>
    <w:rsid w:val="0015623B"/>
    <w:rsid w:val="00156462"/>
    <w:rsid w:val="001566E7"/>
    <w:rsid w:val="0016036D"/>
    <w:rsid w:val="001608D2"/>
    <w:rsid w:val="00161689"/>
    <w:rsid w:val="00162A91"/>
    <w:rsid w:val="00162F3D"/>
    <w:rsid w:val="0016349D"/>
    <w:rsid w:val="001638ED"/>
    <w:rsid w:val="00163A2C"/>
    <w:rsid w:val="00164565"/>
    <w:rsid w:val="001662F7"/>
    <w:rsid w:val="001663ED"/>
    <w:rsid w:val="001718A9"/>
    <w:rsid w:val="00173964"/>
    <w:rsid w:val="001741A0"/>
    <w:rsid w:val="0017508C"/>
    <w:rsid w:val="00175765"/>
    <w:rsid w:val="00175F58"/>
    <w:rsid w:val="00176224"/>
    <w:rsid w:val="001808BD"/>
    <w:rsid w:val="00180A2D"/>
    <w:rsid w:val="00180A8B"/>
    <w:rsid w:val="00181076"/>
    <w:rsid w:val="0018511F"/>
    <w:rsid w:val="00185341"/>
    <w:rsid w:val="00185C0B"/>
    <w:rsid w:val="00186B48"/>
    <w:rsid w:val="00186FFA"/>
    <w:rsid w:val="00187311"/>
    <w:rsid w:val="00187E86"/>
    <w:rsid w:val="00190BC5"/>
    <w:rsid w:val="00193804"/>
    <w:rsid w:val="00193D44"/>
    <w:rsid w:val="00194B08"/>
    <w:rsid w:val="00194EEB"/>
    <w:rsid w:val="00195527"/>
    <w:rsid w:val="00196D84"/>
    <w:rsid w:val="00196F43"/>
    <w:rsid w:val="00197588"/>
    <w:rsid w:val="001A1993"/>
    <w:rsid w:val="001A47A5"/>
    <w:rsid w:val="001A4DDF"/>
    <w:rsid w:val="001A5009"/>
    <w:rsid w:val="001A544C"/>
    <w:rsid w:val="001B0F61"/>
    <w:rsid w:val="001B153A"/>
    <w:rsid w:val="001B52FC"/>
    <w:rsid w:val="001B5505"/>
    <w:rsid w:val="001C088A"/>
    <w:rsid w:val="001C3998"/>
    <w:rsid w:val="001C4158"/>
    <w:rsid w:val="001C53C6"/>
    <w:rsid w:val="001C7FD3"/>
    <w:rsid w:val="001D053F"/>
    <w:rsid w:val="001D0743"/>
    <w:rsid w:val="001D1858"/>
    <w:rsid w:val="001D5F0B"/>
    <w:rsid w:val="001D680F"/>
    <w:rsid w:val="001D77B1"/>
    <w:rsid w:val="001D7D70"/>
    <w:rsid w:val="001E2D33"/>
    <w:rsid w:val="001E2DB9"/>
    <w:rsid w:val="001E721B"/>
    <w:rsid w:val="001F1154"/>
    <w:rsid w:val="001F1555"/>
    <w:rsid w:val="001F2298"/>
    <w:rsid w:val="001F23BD"/>
    <w:rsid w:val="001F34A8"/>
    <w:rsid w:val="001F37A6"/>
    <w:rsid w:val="001F388A"/>
    <w:rsid w:val="001F4BC5"/>
    <w:rsid w:val="001F637F"/>
    <w:rsid w:val="001F63FE"/>
    <w:rsid w:val="001F728C"/>
    <w:rsid w:val="001F77DF"/>
    <w:rsid w:val="002002F2"/>
    <w:rsid w:val="002022EE"/>
    <w:rsid w:val="002028C3"/>
    <w:rsid w:val="0020354E"/>
    <w:rsid w:val="00203ED7"/>
    <w:rsid w:val="00205AAD"/>
    <w:rsid w:val="00207912"/>
    <w:rsid w:val="0021035C"/>
    <w:rsid w:val="00211E93"/>
    <w:rsid w:val="00215286"/>
    <w:rsid w:val="00215B11"/>
    <w:rsid w:val="002175A1"/>
    <w:rsid w:val="002221A2"/>
    <w:rsid w:val="0022436D"/>
    <w:rsid w:val="00227641"/>
    <w:rsid w:val="00230424"/>
    <w:rsid w:val="00230458"/>
    <w:rsid w:val="0023074D"/>
    <w:rsid w:val="00230C9D"/>
    <w:rsid w:val="00234236"/>
    <w:rsid w:val="00234B21"/>
    <w:rsid w:val="00236980"/>
    <w:rsid w:val="00241025"/>
    <w:rsid w:val="00243DC0"/>
    <w:rsid w:val="00244340"/>
    <w:rsid w:val="002452E2"/>
    <w:rsid w:val="00246C5B"/>
    <w:rsid w:val="00250995"/>
    <w:rsid w:val="00250E96"/>
    <w:rsid w:val="00252526"/>
    <w:rsid w:val="0025389A"/>
    <w:rsid w:val="002538E2"/>
    <w:rsid w:val="00253D24"/>
    <w:rsid w:val="002546B9"/>
    <w:rsid w:val="00254730"/>
    <w:rsid w:val="0025575A"/>
    <w:rsid w:val="00255CA0"/>
    <w:rsid w:val="00255F16"/>
    <w:rsid w:val="00260255"/>
    <w:rsid w:val="0026030F"/>
    <w:rsid w:val="00260376"/>
    <w:rsid w:val="00260839"/>
    <w:rsid w:val="00264363"/>
    <w:rsid w:val="002648E4"/>
    <w:rsid w:val="00265E1F"/>
    <w:rsid w:val="002706ED"/>
    <w:rsid w:val="002715AC"/>
    <w:rsid w:val="0027328E"/>
    <w:rsid w:val="002747AB"/>
    <w:rsid w:val="00277248"/>
    <w:rsid w:val="00277795"/>
    <w:rsid w:val="00277E20"/>
    <w:rsid w:val="002803FC"/>
    <w:rsid w:val="00283B74"/>
    <w:rsid w:val="00290672"/>
    <w:rsid w:val="00292B29"/>
    <w:rsid w:val="00296498"/>
    <w:rsid w:val="002A1229"/>
    <w:rsid w:val="002A12CE"/>
    <w:rsid w:val="002A43F4"/>
    <w:rsid w:val="002A5BD2"/>
    <w:rsid w:val="002A65F3"/>
    <w:rsid w:val="002A698D"/>
    <w:rsid w:val="002A77FE"/>
    <w:rsid w:val="002B0146"/>
    <w:rsid w:val="002B1736"/>
    <w:rsid w:val="002B19DC"/>
    <w:rsid w:val="002B20C1"/>
    <w:rsid w:val="002B41FC"/>
    <w:rsid w:val="002B55A5"/>
    <w:rsid w:val="002C0E00"/>
    <w:rsid w:val="002C314C"/>
    <w:rsid w:val="002C4781"/>
    <w:rsid w:val="002C4945"/>
    <w:rsid w:val="002C563E"/>
    <w:rsid w:val="002C795D"/>
    <w:rsid w:val="002D0D3A"/>
    <w:rsid w:val="002D1617"/>
    <w:rsid w:val="002D1D18"/>
    <w:rsid w:val="002D6829"/>
    <w:rsid w:val="002D6857"/>
    <w:rsid w:val="002D70EA"/>
    <w:rsid w:val="002D75B3"/>
    <w:rsid w:val="002E01C1"/>
    <w:rsid w:val="002E0333"/>
    <w:rsid w:val="002E158F"/>
    <w:rsid w:val="002E2D4A"/>
    <w:rsid w:val="002E395D"/>
    <w:rsid w:val="002E536C"/>
    <w:rsid w:val="002E5B19"/>
    <w:rsid w:val="002E5E8C"/>
    <w:rsid w:val="002E6185"/>
    <w:rsid w:val="002E72DB"/>
    <w:rsid w:val="002F0130"/>
    <w:rsid w:val="002F44AF"/>
    <w:rsid w:val="002F5586"/>
    <w:rsid w:val="002F5B9D"/>
    <w:rsid w:val="00300101"/>
    <w:rsid w:val="00300B76"/>
    <w:rsid w:val="00301803"/>
    <w:rsid w:val="00302957"/>
    <w:rsid w:val="00303E73"/>
    <w:rsid w:val="003043A1"/>
    <w:rsid w:val="00306AC0"/>
    <w:rsid w:val="003116EC"/>
    <w:rsid w:val="00311707"/>
    <w:rsid w:val="00312321"/>
    <w:rsid w:val="0031300A"/>
    <w:rsid w:val="003132B5"/>
    <w:rsid w:val="00316688"/>
    <w:rsid w:val="003177F9"/>
    <w:rsid w:val="0032123B"/>
    <w:rsid w:val="00321243"/>
    <w:rsid w:val="00321A22"/>
    <w:rsid w:val="0032202C"/>
    <w:rsid w:val="00322226"/>
    <w:rsid w:val="00322B52"/>
    <w:rsid w:val="0032389F"/>
    <w:rsid w:val="00325716"/>
    <w:rsid w:val="00325774"/>
    <w:rsid w:val="00326122"/>
    <w:rsid w:val="00326673"/>
    <w:rsid w:val="003273A5"/>
    <w:rsid w:val="003277D3"/>
    <w:rsid w:val="00327DB3"/>
    <w:rsid w:val="0033032A"/>
    <w:rsid w:val="00330A57"/>
    <w:rsid w:val="003329D3"/>
    <w:rsid w:val="00332C3A"/>
    <w:rsid w:val="0033479E"/>
    <w:rsid w:val="003377AE"/>
    <w:rsid w:val="00340426"/>
    <w:rsid w:val="00340699"/>
    <w:rsid w:val="00340793"/>
    <w:rsid w:val="0034111C"/>
    <w:rsid w:val="00341B5F"/>
    <w:rsid w:val="00341DA4"/>
    <w:rsid w:val="00342CFD"/>
    <w:rsid w:val="00344175"/>
    <w:rsid w:val="00345340"/>
    <w:rsid w:val="0034682A"/>
    <w:rsid w:val="00347876"/>
    <w:rsid w:val="00347C0C"/>
    <w:rsid w:val="00353301"/>
    <w:rsid w:val="00355C1E"/>
    <w:rsid w:val="0035799E"/>
    <w:rsid w:val="00363674"/>
    <w:rsid w:val="003640DB"/>
    <w:rsid w:val="00364156"/>
    <w:rsid w:val="00364ED5"/>
    <w:rsid w:val="00367169"/>
    <w:rsid w:val="00371795"/>
    <w:rsid w:val="00372496"/>
    <w:rsid w:val="00372A92"/>
    <w:rsid w:val="00373A07"/>
    <w:rsid w:val="003748D8"/>
    <w:rsid w:val="0038095A"/>
    <w:rsid w:val="00381175"/>
    <w:rsid w:val="00381913"/>
    <w:rsid w:val="003821B4"/>
    <w:rsid w:val="003830F7"/>
    <w:rsid w:val="003833A4"/>
    <w:rsid w:val="00384A36"/>
    <w:rsid w:val="00385D5D"/>
    <w:rsid w:val="00386435"/>
    <w:rsid w:val="00386BC5"/>
    <w:rsid w:val="0039342F"/>
    <w:rsid w:val="00393850"/>
    <w:rsid w:val="00393A04"/>
    <w:rsid w:val="00394467"/>
    <w:rsid w:val="00395A19"/>
    <w:rsid w:val="00395E2E"/>
    <w:rsid w:val="00395F7F"/>
    <w:rsid w:val="003963BE"/>
    <w:rsid w:val="003966BE"/>
    <w:rsid w:val="003967B0"/>
    <w:rsid w:val="00396A26"/>
    <w:rsid w:val="0039774E"/>
    <w:rsid w:val="003979D6"/>
    <w:rsid w:val="003A2353"/>
    <w:rsid w:val="003A2521"/>
    <w:rsid w:val="003A34A1"/>
    <w:rsid w:val="003A6B27"/>
    <w:rsid w:val="003A760D"/>
    <w:rsid w:val="003B0D34"/>
    <w:rsid w:val="003B2E47"/>
    <w:rsid w:val="003B3055"/>
    <w:rsid w:val="003B41CC"/>
    <w:rsid w:val="003B66A5"/>
    <w:rsid w:val="003B6F0E"/>
    <w:rsid w:val="003B7554"/>
    <w:rsid w:val="003B7C44"/>
    <w:rsid w:val="003C029F"/>
    <w:rsid w:val="003C065A"/>
    <w:rsid w:val="003C171C"/>
    <w:rsid w:val="003C1B61"/>
    <w:rsid w:val="003C1FF4"/>
    <w:rsid w:val="003C2F65"/>
    <w:rsid w:val="003C3D08"/>
    <w:rsid w:val="003C513F"/>
    <w:rsid w:val="003C66ED"/>
    <w:rsid w:val="003C7650"/>
    <w:rsid w:val="003C77B7"/>
    <w:rsid w:val="003C77DC"/>
    <w:rsid w:val="003C7AD2"/>
    <w:rsid w:val="003D20C6"/>
    <w:rsid w:val="003D2C05"/>
    <w:rsid w:val="003D34C6"/>
    <w:rsid w:val="003D4B6E"/>
    <w:rsid w:val="003D5314"/>
    <w:rsid w:val="003D6773"/>
    <w:rsid w:val="003D720A"/>
    <w:rsid w:val="003D7D1D"/>
    <w:rsid w:val="003E138A"/>
    <w:rsid w:val="003E3A37"/>
    <w:rsid w:val="003E4B6F"/>
    <w:rsid w:val="003E4DD9"/>
    <w:rsid w:val="003E521B"/>
    <w:rsid w:val="003E5896"/>
    <w:rsid w:val="003E5F58"/>
    <w:rsid w:val="003E665D"/>
    <w:rsid w:val="003E6F95"/>
    <w:rsid w:val="003E74E0"/>
    <w:rsid w:val="003E7C0D"/>
    <w:rsid w:val="003F0E01"/>
    <w:rsid w:val="003F2BDC"/>
    <w:rsid w:val="003F66F4"/>
    <w:rsid w:val="003F7A73"/>
    <w:rsid w:val="003F7AAD"/>
    <w:rsid w:val="0040006D"/>
    <w:rsid w:val="00400F31"/>
    <w:rsid w:val="00402349"/>
    <w:rsid w:val="0040361B"/>
    <w:rsid w:val="00406E1B"/>
    <w:rsid w:val="004077E0"/>
    <w:rsid w:val="00407EAB"/>
    <w:rsid w:val="00411ECC"/>
    <w:rsid w:val="00411F05"/>
    <w:rsid w:val="00412013"/>
    <w:rsid w:val="00412E34"/>
    <w:rsid w:val="00413BFB"/>
    <w:rsid w:val="00413CD0"/>
    <w:rsid w:val="0041592E"/>
    <w:rsid w:val="00415CC2"/>
    <w:rsid w:val="00417F6E"/>
    <w:rsid w:val="0042096E"/>
    <w:rsid w:val="004219D3"/>
    <w:rsid w:val="00421A7A"/>
    <w:rsid w:val="00422A14"/>
    <w:rsid w:val="0042346D"/>
    <w:rsid w:val="00425668"/>
    <w:rsid w:val="0042687C"/>
    <w:rsid w:val="00427404"/>
    <w:rsid w:val="00430286"/>
    <w:rsid w:val="004308E1"/>
    <w:rsid w:val="00430B26"/>
    <w:rsid w:val="00432612"/>
    <w:rsid w:val="00433158"/>
    <w:rsid w:val="00433391"/>
    <w:rsid w:val="00433A94"/>
    <w:rsid w:val="0043405F"/>
    <w:rsid w:val="00434D8D"/>
    <w:rsid w:val="00434E81"/>
    <w:rsid w:val="0043682A"/>
    <w:rsid w:val="00436B6E"/>
    <w:rsid w:val="00437E2A"/>
    <w:rsid w:val="00440016"/>
    <w:rsid w:val="004402D9"/>
    <w:rsid w:val="00440D81"/>
    <w:rsid w:val="004440EF"/>
    <w:rsid w:val="0044546F"/>
    <w:rsid w:val="0044595E"/>
    <w:rsid w:val="00445A70"/>
    <w:rsid w:val="00446EE2"/>
    <w:rsid w:val="00447296"/>
    <w:rsid w:val="00447759"/>
    <w:rsid w:val="0045217C"/>
    <w:rsid w:val="00454535"/>
    <w:rsid w:val="00454E47"/>
    <w:rsid w:val="0045585C"/>
    <w:rsid w:val="004566B4"/>
    <w:rsid w:val="00457227"/>
    <w:rsid w:val="00461F5A"/>
    <w:rsid w:val="0046254E"/>
    <w:rsid w:val="004630FF"/>
    <w:rsid w:val="00463854"/>
    <w:rsid w:val="00465614"/>
    <w:rsid w:val="00476A00"/>
    <w:rsid w:val="00476A7A"/>
    <w:rsid w:val="00476DF4"/>
    <w:rsid w:val="00480C4E"/>
    <w:rsid w:val="00480F34"/>
    <w:rsid w:val="00481DE5"/>
    <w:rsid w:val="00482079"/>
    <w:rsid w:val="00485D82"/>
    <w:rsid w:val="00485ECA"/>
    <w:rsid w:val="00486FBC"/>
    <w:rsid w:val="00487955"/>
    <w:rsid w:val="00487C69"/>
    <w:rsid w:val="00490641"/>
    <w:rsid w:val="00490988"/>
    <w:rsid w:val="00491E62"/>
    <w:rsid w:val="00492482"/>
    <w:rsid w:val="004943BE"/>
    <w:rsid w:val="004949A1"/>
    <w:rsid w:val="00495080"/>
    <w:rsid w:val="00495754"/>
    <w:rsid w:val="00495ABF"/>
    <w:rsid w:val="00495F23"/>
    <w:rsid w:val="004969DF"/>
    <w:rsid w:val="004974AC"/>
    <w:rsid w:val="004A04DE"/>
    <w:rsid w:val="004A1F06"/>
    <w:rsid w:val="004A2543"/>
    <w:rsid w:val="004A3600"/>
    <w:rsid w:val="004A3A7A"/>
    <w:rsid w:val="004A441E"/>
    <w:rsid w:val="004A4C18"/>
    <w:rsid w:val="004A5B24"/>
    <w:rsid w:val="004A7139"/>
    <w:rsid w:val="004B0CDF"/>
    <w:rsid w:val="004B204D"/>
    <w:rsid w:val="004B37A3"/>
    <w:rsid w:val="004B4360"/>
    <w:rsid w:val="004B5F83"/>
    <w:rsid w:val="004B67C2"/>
    <w:rsid w:val="004B7AA7"/>
    <w:rsid w:val="004C0935"/>
    <w:rsid w:val="004C13C1"/>
    <w:rsid w:val="004C770B"/>
    <w:rsid w:val="004D0285"/>
    <w:rsid w:val="004D1265"/>
    <w:rsid w:val="004D1D32"/>
    <w:rsid w:val="004D2F68"/>
    <w:rsid w:val="004D33C2"/>
    <w:rsid w:val="004D5109"/>
    <w:rsid w:val="004D7292"/>
    <w:rsid w:val="004D7391"/>
    <w:rsid w:val="004E0442"/>
    <w:rsid w:val="004E0D0A"/>
    <w:rsid w:val="004E0DA0"/>
    <w:rsid w:val="004E2B2F"/>
    <w:rsid w:val="004E783F"/>
    <w:rsid w:val="004F0CF2"/>
    <w:rsid w:val="004F1C1D"/>
    <w:rsid w:val="0050235A"/>
    <w:rsid w:val="005023B9"/>
    <w:rsid w:val="005029E8"/>
    <w:rsid w:val="00503EF0"/>
    <w:rsid w:val="00504E6E"/>
    <w:rsid w:val="00505469"/>
    <w:rsid w:val="005065FD"/>
    <w:rsid w:val="00506CB4"/>
    <w:rsid w:val="005070F5"/>
    <w:rsid w:val="00507832"/>
    <w:rsid w:val="00510C94"/>
    <w:rsid w:val="00511A99"/>
    <w:rsid w:val="00512732"/>
    <w:rsid w:val="00512B2F"/>
    <w:rsid w:val="0051405A"/>
    <w:rsid w:val="005145A9"/>
    <w:rsid w:val="005155B2"/>
    <w:rsid w:val="00517239"/>
    <w:rsid w:val="00517E06"/>
    <w:rsid w:val="00527684"/>
    <w:rsid w:val="00531F21"/>
    <w:rsid w:val="00533809"/>
    <w:rsid w:val="00534212"/>
    <w:rsid w:val="00536976"/>
    <w:rsid w:val="0053759E"/>
    <w:rsid w:val="00540CEE"/>
    <w:rsid w:val="0054302C"/>
    <w:rsid w:val="00543F7A"/>
    <w:rsid w:val="005508BC"/>
    <w:rsid w:val="00552FA9"/>
    <w:rsid w:val="00554859"/>
    <w:rsid w:val="00554EE2"/>
    <w:rsid w:val="00555157"/>
    <w:rsid w:val="00555A6D"/>
    <w:rsid w:val="005578D6"/>
    <w:rsid w:val="00557E1B"/>
    <w:rsid w:val="00557F58"/>
    <w:rsid w:val="00562D25"/>
    <w:rsid w:val="0056483F"/>
    <w:rsid w:val="00564CE1"/>
    <w:rsid w:val="00565500"/>
    <w:rsid w:val="00573412"/>
    <w:rsid w:val="00574DF0"/>
    <w:rsid w:val="005765B4"/>
    <w:rsid w:val="00576732"/>
    <w:rsid w:val="00576C70"/>
    <w:rsid w:val="00581B23"/>
    <w:rsid w:val="00581F20"/>
    <w:rsid w:val="00582D00"/>
    <w:rsid w:val="0058495B"/>
    <w:rsid w:val="00584D13"/>
    <w:rsid w:val="005850D8"/>
    <w:rsid w:val="00585CC2"/>
    <w:rsid w:val="00586389"/>
    <w:rsid w:val="00586F20"/>
    <w:rsid w:val="00586FA1"/>
    <w:rsid w:val="00587570"/>
    <w:rsid w:val="005905F8"/>
    <w:rsid w:val="00590E5F"/>
    <w:rsid w:val="00593C9A"/>
    <w:rsid w:val="005950B4"/>
    <w:rsid w:val="00595458"/>
    <w:rsid w:val="005972DC"/>
    <w:rsid w:val="005A039F"/>
    <w:rsid w:val="005A1180"/>
    <w:rsid w:val="005A136D"/>
    <w:rsid w:val="005A1C4E"/>
    <w:rsid w:val="005A1E01"/>
    <w:rsid w:val="005A1EAF"/>
    <w:rsid w:val="005A28FD"/>
    <w:rsid w:val="005A4775"/>
    <w:rsid w:val="005A4E20"/>
    <w:rsid w:val="005A4E29"/>
    <w:rsid w:val="005A76BF"/>
    <w:rsid w:val="005A794F"/>
    <w:rsid w:val="005B2666"/>
    <w:rsid w:val="005B49D9"/>
    <w:rsid w:val="005B4DF4"/>
    <w:rsid w:val="005B5906"/>
    <w:rsid w:val="005B590A"/>
    <w:rsid w:val="005B5F09"/>
    <w:rsid w:val="005B7EB0"/>
    <w:rsid w:val="005C0740"/>
    <w:rsid w:val="005C0E7F"/>
    <w:rsid w:val="005C364D"/>
    <w:rsid w:val="005C403A"/>
    <w:rsid w:val="005D027E"/>
    <w:rsid w:val="005D11F8"/>
    <w:rsid w:val="005D1D92"/>
    <w:rsid w:val="005D23EA"/>
    <w:rsid w:val="005D2B98"/>
    <w:rsid w:val="005D31DA"/>
    <w:rsid w:val="005D4318"/>
    <w:rsid w:val="005D575E"/>
    <w:rsid w:val="005D5EB6"/>
    <w:rsid w:val="005D6AD0"/>
    <w:rsid w:val="005D7402"/>
    <w:rsid w:val="005E06DF"/>
    <w:rsid w:val="005E3346"/>
    <w:rsid w:val="005E347D"/>
    <w:rsid w:val="005E4AB4"/>
    <w:rsid w:val="005E7ED8"/>
    <w:rsid w:val="005E7FD7"/>
    <w:rsid w:val="005F304B"/>
    <w:rsid w:val="005F3501"/>
    <w:rsid w:val="005F3D70"/>
    <w:rsid w:val="005F4C28"/>
    <w:rsid w:val="005F4D29"/>
    <w:rsid w:val="005F6668"/>
    <w:rsid w:val="005F669F"/>
    <w:rsid w:val="0060288D"/>
    <w:rsid w:val="00602B22"/>
    <w:rsid w:val="00603042"/>
    <w:rsid w:val="0060330D"/>
    <w:rsid w:val="006047D7"/>
    <w:rsid w:val="0060692A"/>
    <w:rsid w:val="00606A65"/>
    <w:rsid w:val="00606B6B"/>
    <w:rsid w:val="0061047F"/>
    <w:rsid w:val="006110B4"/>
    <w:rsid w:val="00611BC9"/>
    <w:rsid w:val="00613050"/>
    <w:rsid w:val="006130DE"/>
    <w:rsid w:val="00613380"/>
    <w:rsid w:val="006138DF"/>
    <w:rsid w:val="00613F5B"/>
    <w:rsid w:val="006177CE"/>
    <w:rsid w:val="00622998"/>
    <w:rsid w:val="006231CE"/>
    <w:rsid w:val="0062460D"/>
    <w:rsid w:val="00626E33"/>
    <w:rsid w:val="00626F4A"/>
    <w:rsid w:val="006270C5"/>
    <w:rsid w:val="006278BD"/>
    <w:rsid w:val="006300B1"/>
    <w:rsid w:val="006308BB"/>
    <w:rsid w:val="00631082"/>
    <w:rsid w:val="00632EC0"/>
    <w:rsid w:val="00633576"/>
    <w:rsid w:val="0063537B"/>
    <w:rsid w:val="00635A85"/>
    <w:rsid w:val="00636226"/>
    <w:rsid w:val="006364BF"/>
    <w:rsid w:val="006370AD"/>
    <w:rsid w:val="006371BB"/>
    <w:rsid w:val="00640FF4"/>
    <w:rsid w:val="00642183"/>
    <w:rsid w:val="00642E48"/>
    <w:rsid w:val="006441C7"/>
    <w:rsid w:val="00644377"/>
    <w:rsid w:val="006445AD"/>
    <w:rsid w:val="006464AF"/>
    <w:rsid w:val="00647EC3"/>
    <w:rsid w:val="00651161"/>
    <w:rsid w:val="00651BD6"/>
    <w:rsid w:val="00652079"/>
    <w:rsid w:val="006528AE"/>
    <w:rsid w:val="00653AA7"/>
    <w:rsid w:val="00654278"/>
    <w:rsid w:val="006563FA"/>
    <w:rsid w:val="006574FC"/>
    <w:rsid w:val="00660ED0"/>
    <w:rsid w:val="00661C90"/>
    <w:rsid w:val="00663580"/>
    <w:rsid w:val="006639C8"/>
    <w:rsid w:val="00664DDD"/>
    <w:rsid w:val="00665D50"/>
    <w:rsid w:val="00666C70"/>
    <w:rsid w:val="0067055B"/>
    <w:rsid w:val="00670F91"/>
    <w:rsid w:val="006711EB"/>
    <w:rsid w:val="00672F36"/>
    <w:rsid w:val="006762BF"/>
    <w:rsid w:val="006804A4"/>
    <w:rsid w:val="00681BD0"/>
    <w:rsid w:val="00684974"/>
    <w:rsid w:val="00684DFC"/>
    <w:rsid w:val="00685409"/>
    <w:rsid w:val="006861E1"/>
    <w:rsid w:val="00686A73"/>
    <w:rsid w:val="00686D99"/>
    <w:rsid w:val="006901D0"/>
    <w:rsid w:val="00690C8B"/>
    <w:rsid w:val="00690D58"/>
    <w:rsid w:val="00690D68"/>
    <w:rsid w:val="0069102B"/>
    <w:rsid w:val="00691401"/>
    <w:rsid w:val="00693643"/>
    <w:rsid w:val="00694ACB"/>
    <w:rsid w:val="00694F8C"/>
    <w:rsid w:val="0069524B"/>
    <w:rsid w:val="00695572"/>
    <w:rsid w:val="006960B8"/>
    <w:rsid w:val="00696E03"/>
    <w:rsid w:val="0069798B"/>
    <w:rsid w:val="006A514A"/>
    <w:rsid w:val="006A659A"/>
    <w:rsid w:val="006A6B35"/>
    <w:rsid w:val="006A6CAE"/>
    <w:rsid w:val="006A724B"/>
    <w:rsid w:val="006A7D37"/>
    <w:rsid w:val="006A7D9F"/>
    <w:rsid w:val="006B0B0B"/>
    <w:rsid w:val="006B18EF"/>
    <w:rsid w:val="006B23A3"/>
    <w:rsid w:val="006B3241"/>
    <w:rsid w:val="006B58AA"/>
    <w:rsid w:val="006B68A5"/>
    <w:rsid w:val="006B7226"/>
    <w:rsid w:val="006B7272"/>
    <w:rsid w:val="006C0043"/>
    <w:rsid w:val="006C3D2A"/>
    <w:rsid w:val="006C4951"/>
    <w:rsid w:val="006C5635"/>
    <w:rsid w:val="006C602E"/>
    <w:rsid w:val="006C6416"/>
    <w:rsid w:val="006D5AEB"/>
    <w:rsid w:val="006D7253"/>
    <w:rsid w:val="006D7F9F"/>
    <w:rsid w:val="006E268D"/>
    <w:rsid w:val="006E2F7D"/>
    <w:rsid w:val="006E32BF"/>
    <w:rsid w:val="006E4790"/>
    <w:rsid w:val="006E4925"/>
    <w:rsid w:val="006E5163"/>
    <w:rsid w:val="006E6454"/>
    <w:rsid w:val="006F00F0"/>
    <w:rsid w:val="006F03EA"/>
    <w:rsid w:val="006F0581"/>
    <w:rsid w:val="006F06E6"/>
    <w:rsid w:val="006F0D65"/>
    <w:rsid w:val="006F193C"/>
    <w:rsid w:val="006F1FFB"/>
    <w:rsid w:val="006F2543"/>
    <w:rsid w:val="006F5D98"/>
    <w:rsid w:val="006F68A2"/>
    <w:rsid w:val="006F6CDB"/>
    <w:rsid w:val="006F79F2"/>
    <w:rsid w:val="0070050D"/>
    <w:rsid w:val="007020AD"/>
    <w:rsid w:val="00702E74"/>
    <w:rsid w:val="007039A5"/>
    <w:rsid w:val="00704491"/>
    <w:rsid w:val="00707640"/>
    <w:rsid w:val="0071103E"/>
    <w:rsid w:val="00711CF9"/>
    <w:rsid w:val="007123B5"/>
    <w:rsid w:val="00712634"/>
    <w:rsid w:val="00712AC3"/>
    <w:rsid w:val="00712E9B"/>
    <w:rsid w:val="0071316D"/>
    <w:rsid w:val="00713BB1"/>
    <w:rsid w:val="00714A1A"/>
    <w:rsid w:val="0071549D"/>
    <w:rsid w:val="00717A0F"/>
    <w:rsid w:val="007219D5"/>
    <w:rsid w:val="00721AB5"/>
    <w:rsid w:val="007227BA"/>
    <w:rsid w:val="00725289"/>
    <w:rsid w:val="00726522"/>
    <w:rsid w:val="00727C26"/>
    <w:rsid w:val="00730EFA"/>
    <w:rsid w:val="00731CDB"/>
    <w:rsid w:val="00735E6E"/>
    <w:rsid w:val="0073646C"/>
    <w:rsid w:val="00736CE3"/>
    <w:rsid w:val="00741036"/>
    <w:rsid w:val="0074129B"/>
    <w:rsid w:val="0074140B"/>
    <w:rsid w:val="0074203C"/>
    <w:rsid w:val="00742B46"/>
    <w:rsid w:val="00744C33"/>
    <w:rsid w:val="007452EE"/>
    <w:rsid w:val="00746BC8"/>
    <w:rsid w:val="00750BA7"/>
    <w:rsid w:val="00750E08"/>
    <w:rsid w:val="00753E63"/>
    <w:rsid w:val="00754476"/>
    <w:rsid w:val="007549E9"/>
    <w:rsid w:val="00757CD9"/>
    <w:rsid w:val="00760231"/>
    <w:rsid w:val="0076225E"/>
    <w:rsid w:val="007629F5"/>
    <w:rsid w:val="00764FBB"/>
    <w:rsid w:val="007655CA"/>
    <w:rsid w:val="007665F3"/>
    <w:rsid w:val="00766BE9"/>
    <w:rsid w:val="00766DB5"/>
    <w:rsid w:val="00767CBE"/>
    <w:rsid w:val="007708E7"/>
    <w:rsid w:val="00771022"/>
    <w:rsid w:val="007712B2"/>
    <w:rsid w:val="007722F1"/>
    <w:rsid w:val="00772B21"/>
    <w:rsid w:val="00773DF7"/>
    <w:rsid w:val="00774B9A"/>
    <w:rsid w:val="00774FC7"/>
    <w:rsid w:val="00775B77"/>
    <w:rsid w:val="00775D6B"/>
    <w:rsid w:val="00775F87"/>
    <w:rsid w:val="00776665"/>
    <w:rsid w:val="007771F0"/>
    <w:rsid w:val="00777567"/>
    <w:rsid w:val="007778F3"/>
    <w:rsid w:val="00781DAD"/>
    <w:rsid w:val="00783466"/>
    <w:rsid w:val="007838B4"/>
    <w:rsid w:val="00783A13"/>
    <w:rsid w:val="00783B91"/>
    <w:rsid w:val="0078470D"/>
    <w:rsid w:val="00784C6B"/>
    <w:rsid w:val="007861DF"/>
    <w:rsid w:val="00790157"/>
    <w:rsid w:val="00792114"/>
    <w:rsid w:val="007923C1"/>
    <w:rsid w:val="00793409"/>
    <w:rsid w:val="007944B3"/>
    <w:rsid w:val="00794A1E"/>
    <w:rsid w:val="0079559C"/>
    <w:rsid w:val="007958F6"/>
    <w:rsid w:val="00795915"/>
    <w:rsid w:val="00797244"/>
    <w:rsid w:val="00797AF6"/>
    <w:rsid w:val="007A03F3"/>
    <w:rsid w:val="007A0808"/>
    <w:rsid w:val="007A2CD1"/>
    <w:rsid w:val="007A3124"/>
    <w:rsid w:val="007A35C4"/>
    <w:rsid w:val="007A4A1E"/>
    <w:rsid w:val="007A51CC"/>
    <w:rsid w:val="007A523F"/>
    <w:rsid w:val="007A56E2"/>
    <w:rsid w:val="007A61A9"/>
    <w:rsid w:val="007A70A4"/>
    <w:rsid w:val="007B32CF"/>
    <w:rsid w:val="007B3436"/>
    <w:rsid w:val="007B345F"/>
    <w:rsid w:val="007B45F3"/>
    <w:rsid w:val="007B5DB6"/>
    <w:rsid w:val="007C0E2B"/>
    <w:rsid w:val="007C2831"/>
    <w:rsid w:val="007C31E9"/>
    <w:rsid w:val="007C3333"/>
    <w:rsid w:val="007C38B3"/>
    <w:rsid w:val="007C522C"/>
    <w:rsid w:val="007C565E"/>
    <w:rsid w:val="007C59B0"/>
    <w:rsid w:val="007C6C0D"/>
    <w:rsid w:val="007C72AB"/>
    <w:rsid w:val="007C795D"/>
    <w:rsid w:val="007D2CD7"/>
    <w:rsid w:val="007D2F02"/>
    <w:rsid w:val="007D30E4"/>
    <w:rsid w:val="007D348E"/>
    <w:rsid w:val="007D497B"/>
    <w:rsid w:val="007E0E64"/>
    <w:rsid w:val="007E2B71"/>
    <w:rsid w:val="007E367F"/>
    <w:rsid w:val="007E38D6"/>
    <w:rsid w:val="007E3CFF"/>
    <w:rsid w:val="007E60EB"/>
    <w:rsid w:val="007E7621"/>
    <w:rsid w:val="007F0737"/>
    <w:rsid w:val="007F192C"/>
    <w:rsid w:val="007F2723"/>
    <w:rsid w:val="007F279C"/>
    <w:rsid w:val="00800F36"/>
    <w:rsid w:val="008027AD"/>
    <w:rsid w:val="00803760"/>
    <w:rsid w:val="00803E86"/>
    <w:rsid w:val="00804162"/>
    <w:rsid w:val="00804877"/>
    <w:rsid w:val="008058E0"/>
    <w:rsid w:val="00806EAF"/>
    <w:rsid w:val="00810BC0"/>
    <w:rsid w:val="00810ED6"/>
    <w:rsid w:val="0081226C"/>
    <w:rsid w:val="008128ED"/>
    <w:rsid w:val="008155F1"/>
    <w:rsid w:val="00815800"/>
    <w:rsid w:val="00815B46"/>
    <w:rsid w:val="00815C93"/>
    <w:rsid w:val="00817365"/>
    <w:rsid w:val="00817B67"/>
    <w:rsid w:val="00821C69"/>
    <w:rsid w:val="00821D4A"/>
    <w:rsid w:val="00822874"/>
    <w:rsid w:val="008229E3"/>
    <w:rsid w:val="00823A18"/>
    <w:rsid w:val="008241B3"/>
    <w:rsid w:val="00824450"/>
    <w:rsid w:val="00825000"/>
    <w:rsid w:val="00826398"/>
    <w:rsid w:val="00827458"/>
    <w:rsid w:val="008278C6"/>
    <w:rsid w:val="00827D46"/>
    <w:rsid w:val="008312E9"/>
    <w:rsid w:val="008326E0"/>
    <w:rsid w:val="00832892"/>
    <w:rsid w:val="00835CC2"/>
    <w:rsid w:val="00836FC7"/>
    <w:rsid w:val="008376FD"/>
    <w:rsid w:val="00837951"/>
    <w:rsid w:val="00843F09"/>
    <w:rsid w:val="0084452F"/>
    <w:rsid w:val="00845B6C"/>
    <w:rsid w:val="00846BF4"/>
    <w:rsid w:val="008503C9"/>
    <w:rsid w:val="00850E4B"/>
    <w:rsid w:val="00852B16"/>
    <w:rsid w:val="00854865"/>
    <w:rsid w:val="00856A22"/>
    <w:rsid w:val="0085733A"/>
    <w:rsid w:val="00860468"/>
    <w:rsid w:val="008608B5"/>
    <w:rsid w:val="00862A54"/>
    <w:rsid w:val="008633A8"/>
    <w:rsid w:val="00863509"/>
    <w:rsid w:val="0086440F"/>
    <w:rsid w:val="00865AC3"/>
    <w:rsid w:val="008670DF"/>
    <w:rsid w:val="00867AC4"/>
    <w:rsid w:val="00867D56"/>
    <w:rsid w:val="008708BF"/>
    <w:rsid w:val="00870B66"/>
    <w:rsid w:val="00870CDD"/>
    <w:rsid w:val="00871788"/>
    <w:rsid w:val="00873199"/>
    <w:rsid w:val="00875203"/>
    <w:rsid w:val="0087557D"/>
    <w:rsid w:val="00875676"/>
    <w:rsid w:val="0087757B"/>
    <w:rsid w:val="00877DEF"/>
    <w:rsid w:val="0088233E"/>
    <w:rsid w:val="00882ECD"/>
    <w:rsid w:val="0088473C"/>
    <w:rsid w:val="00891C25"/>
    <w:rsid w:val="00891DE3"/>
    <w:rsid w:val="00892A31"/>
    <w:rsid w:val="00892FB1"/>
    <w:rsid w:val="008932B8"/>
    <w:rsid w:val="008944B8"/>
    <w:rsid w:val="008A0956"/>
    <w:rsid w:val="008A1489"/>
    <w:rsid w:val="008A23BA"/>
    <w:rsid w:val="008A348A"/>
    <w:rsid w:val="008A3A6F"/>
    <w:rsid w:val="008A3F04"/>
    <w:rsid w:val="008A586E"/>
    <w:rsid w:val="008A5A22"/>
    <w:rsid w:val="008A5B6A"/>
    <w:rsid w:val="008A692B"/>
    <w:rsid w:val="008A75F7"/>
    <w:rsid w:val="008B26D4"/>
    <w:rsid w:val="008B40ED"/>
    <w:rsid w:val="008B44A9"/>
    <w:rsid w:val="008B4D58"/>
    <w:rsid w:val="008B51DB"/>
    <w:rsid w:val="008B55F8"/>
    <w:rsid w:val="008B6EF9"/>
    <w:rsid w:val="008C0B59"/>
    <w:rsid w:val="008C1570"/>
    <w:rsid w:val="008C2152"/>
    <w:rsid w:val="008C2800"/>
    <w:rsid w:val="008C2D28"/>
    <w:rsid w:val="008C3DA0"/>
    <w:rsid w:val="008C499B"/>
    <w:rsid w:val="008C4C14"/>
    <w:rsid w:val="008C564B"/>
    <w:rsid w:val="008C5B61"/>
    <w:rsid w:val="008C65DF"/>
    <w:rsid w:val="008C69E4"/>
    <w:rsid w:val="008C7998"/>
    <w:rsid w:val="008C7AED"/>
    <w:rsid w:val="008C7FEF"/>
    <w:rsid w:val="008D0E1A"/>
    <w:rsid w:val="008D1E0B"/>
    <w:rsid w:val="008D3564"/>
    <w:rsid w:val="008D3C0C"/>
    <w:rsid w:val="008E1F2A"/>
    <w:rsid w:val="008E22D6"/>
    <w:rsid w:val="008E2AC8"/>
    <w:rsid w:val="008E30CC"/>
    <w:rsid w:val="008E38FA"/>
    <w:rsid w:val="008E3EA5"/>
    <w:rsid w:val="008E585C"/>
    <w:rsid w:val="008E65F5"/>
    <w:rsid w:val="008F06C1"/>
    <w:rsid w:val="008F09CE"/>
    <w:rsid w:val="008F0A4A"/>
    <w:rsid w:val="008F1449"/>
    <w:rsid w:val="008F201E"/>
    <w:rsid w:val="008F2915"/>
    <w:rsid w:val="008F51AC"/>
    <w:rsid w:val="008F5D3F"/>
    <w:rsid w:val="008F7341"/>
    <w:rsid w:val="0090127F"/>
    <w:rsid w:val="009014AC"/>
    <w:rsid w:val="009015CC"/>
    <w:rsid w:val="00901910"/>
    <w:rsid w:val="0090228C"/>
    <w:rsid w:val="009028E5"/>
    <w:rsid w:val="00904A0B"/>
    <w:rsid w:val="009051C0"/>
    <w:rsid w:val="00906E5C"/>
    <w:rsid w:val="00906F70"/>
    <w:rsid w:val="00907B76"/>
    <w:rsid w:val="00911C2A"/>
    <w:rsid w:val="00911FED"/>
    <w:rsid w:val="00912483"/>
    <w:rsid w:val="00916379"/>
    <w:rsid w:val="00917040"/>
    <w:rsid w:val="00917619"/>
    <w:rsid w:val="009209AC"/>
    <w:rsid w:val="00924A1C"/>
    <w:rsid w:val="00925641"/>
    <w:rsid w:val="009259D8"/>
    <w:rsid w:val="00926B2C"/>
    <w:rsid w:val="00927C48"/>
    <w:rsid w:val="00930E3B"/>
    <w:rsid w:val="009320DE"/>
    <w:rsid w:val="00934339"/>
    <w:rsid w:val="009364EF"/>
    <w:rsid w:val="009372E4"/>
    <w:rsid w:val="0093799D"/>
    <w:rsid w:val="00941436"/>
    <w:rsid w:val="0094250A"/>
    <w:rsid w:val="00942D52"/>
    <w:rsid w:val="009433F7"/>
    <w:rsid w:val="00943EEB"/>
    <w:rsid w:val="009441A2"/>
    <w:rsid w:val="00944AA4"/>
    <w:rsid w:val="00944D77"/>
    <w:rsid w:val="00945A01"/>
    <w:rsid w:val="0094610D"/>
    <w:rsid w:val="00946AAA"/>
    <w:rsid w:val="009509E7"/>
    <w:rsid w:val="00950D9D"/>
    <w:rsid w:val="00950EA1"/>
    <w:rsid w:val="00951C9E"/>
    <w:rsid w:val="00952226"/>
    <w:rsid w:val="00953CA8"/>
    <w:rsid w:val="00954A13"/>
    <w:rsid w:val="009551D7"/>
    <w:rsid w:val="00955A1D"/>
    <w:rsid w:val="009569BC"/>
    <w:rsid w:val="009575B3"/>
    <w:rsid w:val="0096032D"/>
    <w:rsid w:val="00960FA2"/>
    <w:rsid w:val="009637F9"/>
    <w:rsid w:val="00963AE1"/>
    <w:rsid w:val="009645DE"/>
    <w:rsid w:val="00965632"/>
    <w:rsid w:val="00965962"/>
    <w:rsid w:val="00965AB7"/>
    <w:rsid w:val="00970E00"/>
    <w:rsid w:val="00972311"/>
    <w:rsid w:val="00973ACD"/>
    <w:rsid w:val="00973FEB"/>
    <w:rsid w:val="009740DB"/>
    <w:rsid w:val="00974ECC"/>
    <w:rsid w:val="00975557"/>
    <w:rsid w:val="00975B44"/>
    <w:rsid w:val="00976472"/>
    <w:rsid w:val="00976611"/>
    <w:rsid w:val="00980BB6"/>
    <w:rsid w:val="00984912"/>
    <w:rsid w:val="00985789"/>
    <w:rsid w:val="0098744C"/>
    <w:rsid w:val="00987F4A"/>
    <w:rsid w:val="00990273"/>
    <w:rsid w:val="00990382"/>
    <w:rsid w:val="009912A9"/>
    <w:rsid w:val="00992811"/>
    <w:rsid w:val="00992B08"/>
    <w:rsid w:val="009930F0"/>
    <w:rsid w:val="00994E83"/>
    <w:rsid w:val="00994FAF"/>
    <w:rsid w:val="009970AD"/>
    <w:rsid w:val="009975CB"/>
    <w:rsid w:val="009A0C0C"/>
    <w:rsid w:val="009A257D"/>
    <w:rsid w:val="009A2704"/>
    <w:rsid w:val="009A2A7C"/>
    <w:rsid w:val="009A39AC"/>
    <w:rsid w:val="009A4262"/>
    <w:rsid w:val="009A4A25"/>
    <w:rsid w:val="009A7B02"/>
    <w:rsid w:val="009B04CB"/>
    <w:rsid w:val="009B1167"/>
    <w:rsid w:val="009B1348"/>
    <w:rsid w:val="009B1534"/>
    <w:rsid w:val="009B28C9"/>
    <w:rsid w:val="009B2D5B"/>
    <w:rsid w:val="009B4543"/>
    <w:rsid w:val="009B4C87"/>
    <w:rsid w:val="009C18BC"/>
    <w:rsid w:val="009C1B37"/>
    <w:rsid w:val="009C1C24"/>
    <w:rsid w:val="009C1DBC"/>
    <w:rsid w:val="009C29E7"/>
    <w:rsid w:val="009C2BEF"/>
    <w:rsid w:val="009C5A08"/>
    <w:rsid w:val="009D048B"/>
    <w:rsid w:val="009D0C2A"/>
    <w:rsid w:val="009D33AC"/>
    <w:rsid w:val="009D4755"/>
    <w:rsid w:val="009D500A"/>
    <w:rsid w:val="009D74D8"/>
    <w:rsid w:val="009D7515"/>
    <w:rsid w:val="009E08D0"/>
    <w:rsid w:val="009E105D"/>
    <w:rsid w:val="009E5C06"/>
    <w:rsid w:val="009E6384"/>
    <w:rsid w:val="009E66AE"/>
    <w:rsid w:val="009E76D4"/>
    <w:rsid w:val="009E7827"/>
    <w:rsid w:val="009F1211"/>
    <w:rsid w:val="009F2514"/>
    <w:rsid w:val="009F2ED4"/>
    <w:rsid w:val="009F30D7"/>
    <w:rsid w:val="009F3D56"/>
    <w:rsid w:val="009F40D3"/>
    <w:rsid w:val="009F42E5"/>
    <w:rsid w:val="009F444A"/>
    <w:rsid w:val="009F6A2A"/>
    <w:rsid w:val="009F6DCC"/>
    <w:rsid w:val="009F79CB"/>
    <w:rsid w:val="00A014E5"/>
    <w:rsid w:val="00A01650"/>
    <w:rsid w:val="00A0331D"/>
    <w:rsid w:val="00A0360E"/>
    <w:rsid w:val="00A05CC4"/>
    <w:rsid w:val="00A07AAE"/>
    <w:rsid w:val="00A10407"/>
    <w:rsid w:val="00A127B1"/>
    <w:rsid w:val="00A22B70"/>
    <w:rsid w:val="00A23C76"/>
    <w:rsid w:val="00A25121"/>
    <w:rsid w:val="00A2536D"/>
    <w:rsid w:val="00A25B58"/>
    <w:rsid w:val="00A26B63"/>
    <w:rsid w:val="00A27055"/>
    <w:rsid w:val="00A271B3"/>
    <w:rsid w:val="00A277AB"/>
    <w:rsid w:val="00A303CE"/>
    <w:rsid w:val="00A31A45"/>
    <w:rsid w:val="00A328C7"/>
    <w:rsid w:val="00A344E9"/>
    <w:rsid w:val="00A34713"/>
    <w:rsid w:val="00A35D3C"/>
    <w:rsid w:val="00A36E96"/>
    <w:rsid w:val="00A412F4"/>
    <w:rsid w:val="00A42287"/>
    <w:rsid w:val="00A42580"/>
    <w:rsid w:val="00A428F6"/>
    <w:rsid w:val="00A42A75"/>
    <w:rsid w:val="00A42D73"/>
    <w:rsid w:val="00A436BE"/>
    <w:rsid w:val="00A43F99"/>
    <w:rsid w:val="00A4564E"/>
    <w:rsid w:val="00A5169C"/>
    <w:rsid w:val="00A53005"/>
    <w:rsid w:val="00A5347C"/>
    <w:rsid w:val="00A53E94"/>
    <w:rsid w:val="00A5403F"/>
    <w:rsid w:val="00A54CDC"/>
    <w:rsid w:val="00A54F45"/>
    <w:rsid w:val="00A562D1"/>
    <w:rsid w:val="00A65C31"/>
    <w:rsid w:val="00A6662F"/>
    <w:rsid w:val="00A66CA2"/>
    <w:rsid w:val="00A70DC0"/>
    <w:rsid w:val="00A71592"/>
    <w:rsid w:val="00A71B10"/>
    <w:rsid w:val="00A725DF"/>
    <w:rsid w:val="00A7319A"/>
    <w:rsid w:val="00A74EB4"/>
    <w:rsid w:val="00A7618F"/>
    <w:rsid w:val="00A76455"/>
    <w:rsid w:val="00A77475"/>
    <w:rsid w:val="00A77484"/>
    <w:rsid w:val="00A774C0"/>
    <w:rsid w:val="00A81B6F"/>
    <w:rsid w:val="00A82776"/>
    <w:rsid w:val="00A84C37"/>
    <w:rsid w:val="00A8541A"/>
    <w:rsid w:val="00A85B71"/>
    <w:rsid w:val="00A875E7"/>
    <w:rsid w:val="00A8790E"/>
    <w:rsid w:val="00A8797B"/>
    <w:rsid w:val="00A9116D"/>
    <w:rsid w:val="00A911C5"/>
    <w:rsid w:val="00A917C8"/>
    <w:rsid w:val="00A92084"/>
    <w:rsid w:val="00A9395D"/>
    <w:rsid w:val="00A945B7"/>
    <w:rsid w:val="00A965BC"/>
    <w:rsid w:val="00A97344"/>
    <w:rsid w:val="00AA07F7"/>
    <w:rsid w:val="00AA1012"/>
    <w:rsid w:val="00AA183E"/>
    <w:rsid w:val="00AA5DAB"/>
    <w:rsid w:val="00AA690B"/>
    <w:rsid w:val="00AA69FA"/>
    <w:rsid w:val="00AA780A"/>
    <w:rsid w:val="00AB1073"/>
    <w:rsid w:val="00AB2630"/>
    <w:rsid w:val="00AB3563"/>
    <w:rsid w:val="00AB3771"/>
    <w:rsid w:val="00AB37BA"/>
    <w:rsid w:val="00AB3C56"/>
    <w:rsid w:val="00AB4093"/>
    <w:rsid w:val="00AB44F8"/>
    <w:rsid w:val="00AC0830"/>
    <w:rsid w:val="00AC0E1C"/>
    <w:rsid w:val="00AC241B"/>
    <w:rsid w:val="00AC2C26"/>
    <w:rsid w:val="00AC2FB0"/>
    <w:rsid w:val="00AC3BDB"/>
    <w:rsid w:val="00AC49F4"/>
    <w:rsid w:val="00AC4E67"/>
    <w:rsid w:val="00AC5B50"/>
    <w:rsid w:val="00AC73CB"/>
    <w:rsid w:val="00AC73D6"/>
    <w:rsid w:val="00AD01D3"/>
    <w:rsid w:val="00AD2110"/>
    <w:rsid w:val="00AD2D05"/>
    <w:rsid w:val="00AD3F13"/>
    <w:rsid w:val="00AD4F34"/>
    <w:rsid w:val="00AD6797"/>
    <w:rsid w:val="00AD7F54"/>
    <w:rsid w:val="00AE2178"/>
    <w:rsid w:val="00AE2EA7"/>
    <w:rsid w:val="00AE3220"/>
    <w:rsid w:val="00AE396D"/>
    <w:rsid w:val="00AE4A46"/>
    <w:rsid w:val="00AE4C2B"/>
    <w:rsid w:val="00AE68BA"/>
    <w:rsid w:val="00AE6B09"/>
    <w:rsid w:val="00AE7B46"/>
    <w:rsid w:val="00AF003E"/>
    <w:rsid w:val="00AF0389"/>
    <w:rsid w:val="00AF0631"/>
    <w:rsid w:val="00AF105B"/>
    <w:rsid w:val="00AF2098"/>
    <w:rsid w:val="00AF20FE"/>
    <w:rsid w:val="00AF574F"/>
    <w:rsid w:val="00AF5C09"/>
    <w:rsid w:val="00B0052F"/>
    <w:rsid w:val="00B0327E"/>
    <w:rsid w:val="00B0413C"/>
    <w:rsid w:val="00B06B41"/>
    <w:rsid w:val="00B06C0E"/>
    <w:rsid w:val="00B07113"/>
    <w:rsid w:val="00B0797F"/>
    <w:rsid w:val="00B07BFA"/>
    <w:rsid w:val="00B108E7"/>
    <w:rsid w:val="00B11A6D"/>
    <w:rsid w:val="00B12B31"/>
    <w:rsid w:val="00B12C23"/>
    <w:rsid w:val="00B130BF"/>
    <w:rsid w:val="00B15034"/>
    <w:rsid w:val="00B15352"/>
    <w:rsid w:val="00B160AA"/>
    <w:rsid w:val="00B2011C"/>
    <w:rsid w:val="00B20B5F"/>
    <w:rsid w:val="00B2142F"/>
    <w:rsid w:val="00B21874"/>
    <w:rsid w:val="00B21CB0"/>
    <w:rsid w:val="00B22C3E"/>
    <w:rsid w:val="00B232B0"/>
    <w:rsid w:val="00B240B0"/>
    <w:rsid w:val="00B24D9B"/>
    <w:rsid w:val="00B250C8"/>
    <w:rsid w:val="00B25D6A"/>
    <w:rsid w:val="00B261A3"/>
    <w:rsid w:val="00B26296"/>
    <w:rsid w:val="00B26E28"/>
    <w:rsid w:val="00B2754D"/>
    <w:rsid w:val="00B3148B"/>
    <w:rsid w:val="00B31BC6"/>
    <w:rsid w:val="00B33671"/>
    <w:rsid w:val="00B33C64"/>
    <w:rsid w:val="00B34303"/>
    <w:rsid w:val="00B3563E"/>
    <w:rsid w:val="00B35E96"/>
    <w:rsid w:val="00B36D6D"/>
    <w:rsid w:val="00B36F8B"/>
    <w:rsid w:val="00B375B4"/>
    <w:rsid w:val="00B400A3"/>
    <w:rsid w:val="00B40DCD"/>
    <w:rsid w:val="00B422F8"/>
    <w:rsid w:val="00B445CE"/>
    <w:rsid w:val="00B45637"/>
    <w:rsid w:val="00B45CA1"/>
    <w:rsid w:val="00B45D5E"/>
    <w:rsid w:val="00B45E4F"/>
    <w:rsid w:val="00B45F0B"/>
    <w:rsid w:val="00B465C7"/>
    <w:rsid w:val="00B466DE"/>
    <w:rsid w:val="00B4670D"/>
    <w:rsid w:val="00B51589"/>
    <w:rsid w:val="00B5268D"/>
    <w:rsid w:val="00B52E87"/>
    <w:rsid w:val="00B53CA7"/>
    <w:rsid w:val="00B541F6"/>
    <w:rsid w:val="00B5497F"/>
    <w:rsid w:val="00B5571F"/>
    <w:rsid w:val="00B55A6A"/>
    <w:rsid w:val="00B55D88"/>
    <w:rsid w:val="00B560FA"/>
    <w:rsid w:val="00B56F38"/>
    <w:rsid w:val="00B63517"/>
    <w:rsid w:val="00B63D71"/>
    <w:rsid w:val="00B63F78"/>
    <w:rsid w:val="00B703F3"/>
    <w:rsid w:val="00B70D30"/>
    <w:rsid w:val="00B71A33"/>
    <w:rsid w:val="00B73482"/>
    <w:rsid w:val="00B73D1B"/>
    <w:rsid w:val="00B74110"/>
    <w:rsid w:val="00B7628B"/>
    <w:rsid w:val="00B77213"/>
    <w:rsid w:val="00B8047A"/>
    <w:rsid w:val="00B83528"/>
    <w:rsid w:val="00B847BA"/>
    <w:rsid w:val="00B87389"/>
    <w:rsid w:val="00B90AB4"/>
    <w:rsid w:val="00B92A38"/>
    <w:rsid w:val="00B92C45"/>
    <w:rsid w:val="00B946A0"/>
    <w:rsid w:val="00B956B0"/>
    <w:rsid w:val="00B96BCB"/>
    <w:rsid w:val="00B97B05"/>
    <w:rsid w:val="00BA0A3E"/>
    <w:rsid w:val="00BA0AD9"/>
    <w:rsid w:val="00BA1D1F"/>
    <w:rsid w:val="00BA458D"/>
    <w:rsid w:val="00BA474E"/>
    <w:rsid w:val="00BA50BB"/>
    <w:rsid w:val="00BA573D"/>
    <w:rsid w:val="00BA58D0"/>
    <w:rsid w:val="00BA762A"/>
    <w:rsid w:val="00BA7BCF"/>
    <w:rsid w:val="00BB0254"/>
    <w:rsid w:val="00BB0A6F"/>
    <w:rsid w:val="00BB0AD4"/>
    <w:rsid w:val="00BB0CF3"/>
    <w:rsid w:val="00BB180B"/>
    <w:rsid w:val="00BB1C28"/>
    <w:rsid w:val="00BB1C3C"/>
    <w:rsid w:val="00BB3E8F"/>
    <w:rsid w:val="00BB4645"/>
    <w:rsid w:val="00BB4B0D"/>
    <w:rsid w:val="00BB59B3"/>
    <w:rsid w:val="00BB5B19"/>
    <w:rsid w:val="00BB6654"/>
    <w:rsid w:val="00BB7948"/>
    <w:rsid w:val="00BC01F7"/>
    <w:rsid w:val="00BC08B4"/>
    <w:rsid w:val="00BC0A3F"/>
    <w:rsid w:val="00BC181B"/>
    <w:rsid w:val="00BC31D1"/>
    <w:rsid w:val="00BC320C"/>
    <w:rsid w:val="00BC39B0"/>
    <w:rsid w:val="00BC3C7C"/>
    <w:rsid w:val="00BC3CD2"/>
    <w:rsid w:val="00BC3D77"/>
    <w:rsid w:val="00BC4B71"/>
    <w:rsid w:val="00BC5544"/>
    <w:rsid w:val="00BC6264"/>
    <w:rsid w:val="00BC71C7"/>
    <w:rsid w:val="00BD035E"/>
    <w:rsid w:val="00BD0FF1"/>
    <w:rsid w:val="00BD1A6E"/>
    <w:rsid w:val="00BD1AEB"/>
    <w:rsid w:val="00BD6D1D"/>
    <w:rsid w:val="00BE0F4A"/>
    <w:rsid w:val="00BE11DC"/>
    <w:rsid w:val="00BE308D"/>
    <w:rsid w:val="00BE4BE6"/>
    <w:rsid w:val="00BE5D8C"/>
    <w:rsid w:val="00BE65EB"/>
    <w:rsid w:val="00BF2F0F"/>
    <w:rsid w:val="00BF34D5"/>
    <w:rsid w:val="00BF5202"/>
    <w:rsid w:val="00BF584F"/>
    <w:rsid w:val="00C00185"/>
    <w:rsid w:val="00C00479"/>
    <w:rsid w:val="00C00DD5"/>
    <w:rsid w:val="00C017C7"/>
    <w:rsid w:val="00C0186D"/>
    <w:rsid w:val="00C04B28"/>
    <w:rsid w:val="00C07396"/>
    <w:rsid w:val="00C10AEF"/>
    <w:rsid w:val="00C10E19"/>
    <w:rsid w:val="00C1136A"/>
    <w:rsid w:val="00C1179E"/>
    <w:rsid w:val="00C11E10"/>
    <w:rsid w:val="00C1221F"/>
    <w:rsid w:val="00C13481"/>
    <w:rsid w:val="00C1417C"/>
    <w:rsid w:val="00C20B66"/>
    <w:rsid w:val="00C218C7"/>
    <w:rsid w:val="00C23165"/>
    <w:rsid w:val="00C231F9"/>
    <w:rsid w:val="00C237C2"/>
    <w:rsid w:val="00C2535C"/>
    <w:rsid w:val="00C25AF9"/>
    <w:rsid w:val="00C27596"/>
    <w:rsid w:val="00C307D5"/>
    <w:rsid w:val="00C314EF"/>
    <w:rsid w:val="00C3188B"/>
    <w:rsid w:val="00C3346E"/>
    <w:rsid w:val="00C33824"/>
    <w:rsid w:val="00C33C23"/>
    <w:rsid w:val="00C343C9"/>
    <w:rsid w:val="00C360AD"/>
    <w:rsid w:val="00C376D0"/>
    <w:rsid w:val="00C40B1C"/>
    <w:rsid w:val="00C43101"/>
    <w:rsid w:val="00C44AD4"/>
    <w:rsid w:val="00C51304"/>
    <w:rsid w:val="00C5210C"/>
    <w:rsid w:val="00C52E8B"/>
    <w:rsid w:val="00C54B5C"/>
    <w:rsid w:val="00C55165"/>
    <w:rsid w:val="00C56C2B"/>
    <w:rsid w:val="00C620FF"/>
    <w:rsid w:val="00C64C4E"/>
    <w:rsid w:val="00C64EA5"/>
    <w:rsid w:val="00C65ACC"/>
    <w:rsid w:val="00C6642A"/>
    <w:rsid w:val="00C670B8"/>
    <w:rsid w:val="00C70EB3"/>
    <w:rsid w:val="00C7251E"/>
    <w:rsid w:val="00C74113"/>
    <w:rsid w:val="00C7692F"/>
    <w:rsid w:val="00C76957"/>
    <w:rsid w:val="00C76E53"/>
    <w:rsid w:val="00C81014"/>
    <w:rsid w:val="00C818F0"/>
    <w:rsid w:val="00C859B9"/>
    <w:rsid w:val="00C85E59"/>
    <w:rsid w:val="00C8698C"/>
    <w:rsid w:val="00C902DE"/>
    <w:rsid w:val="00C9117E"/>
    <w:rsid w:val="00C94307"/>
    <w:rsid w:val="00C95BC3"/>
    <w:rsid w:val="00C977C8"/>
    <w:rsid w:val="00C97EC4"/>
    <w:rsid w:val="00CA08C7"/>
    <w:rsid w:val="00CA096A"/>
    <w:rsid w:val="00CA0E90"/>
    <w:rsid w:val="00CA214E"/>
    <w:rsid w:val="00CA24F9"/>
    <w:rsid w:val="00CA520B"/>
    <w:rsid w:val="00CA5FA8"/>
    <w:rsid w:val="00CA7F5F"/>
    <w:rsid w:val="00CB196B"/>
    <w:rsid w:val="00CB4B67"/>
    <w:rsid w:val="00CB53F8"/>
    <w:rsid w:val="00CC2472"/>
    <w:rsid w:val="00CC412A"/>
    <w:rsid w:val="00CC4DF8"/>
    <w:rsid w:val="00CC5AA7"/>
    <w:rsid w:val="00CC61A4"/>
    <w:rsid w:val="00CC6932"/>
    <w:rsid w:val="00CC6FCD"/>
    <w:rsid w:val="00CD240D"/>
    <w:rsid w:val="00CD32A9"/>
    <w:rsid w:val="00CD3F03"/>
    <w:rsid w:val="00CD59A9"/>
    <w:rsid w:val="00CD7C57"/>
    <w:rsid w:val="00CE061B"/>
    <w:rsid w:val="00CE090A"/>
    <w:rsid w:val="00CE0DD5"/>
    <w:rsid w:val="00CE122E"/>
    <w:rsid w:val="00CE4D09"/>
    <w:rsid w:val="00CE5017"/>
    <w:rsid w:val="00CE5325"/>
    <w:rsid w:val="00CE710C"/>
    <w:rsid w:val="00CF0037"/>
    <w:rsid w:val="00CF0666"/>
    <w:rsid w:val="00CF1949"/>
    <w:rsid w:val="00CF1C0B"/>
    <w:rsid w:val="00CF20E0"/>
    <w:rsid w:val="00CF2435"/>
    <w:rsid w:val="00CF3739"/>
    <w:rsid w:val="00CF3EA2"/>
    <w:rsid w:val="00CF59E8"/>
    <w:rsid w:val="00CF6562"/>
    <w:rsid w:val="00CF7560"/>
    <w:rsid w:val="00CF7652"/>
    <w:rsid w:val="00CF773A"/>
    <w:rsid w:val="00D007F3"/>
    <w:rsid w:val="00D00C9C"/>
    <w:rsid w:val="00D0128B"/>
    <w:rsid w:val="00D02E81"/>
    <w:rsid w:val="00D039EB"/>
    <w:rsid w:val="00D03D1B"/>
    <w:rsid w:val="00D05712"/>
    <w:rsid w:val="00D1038C"/>
    <w:rsid w:val="00D12F10"/>
    <w:rsid w:val="00D14A62"/>
    <w:rsid w:val="00D14B6A"/>
    <w:rsid w:val="00D15CB1"/>
    <w:rsid w:val="00D16FB3"/>
    <w:rsid w:val="00D21D88"/>
    <w:rsid w:val="00D225AA"/>
    <w:rsid w:val="00D2338D"/>
    <w:rsid w:val="00D23DAE"/>
    <w:rsid w:val="00D26216"/>
    <w:rsid w:val="00D26F29"/>
    <w:rsid w:val="00D30DCD"/>
    <w:rsid w:val="00D31EA4"/>
    <w:rsid w:val="00D353E2"/>
    <w:rsid w:val="00D35617"/>
    <w:rsid w:val="00D3660E"/>
    <w:rsid w:val="00D368C4"/>
    <w:rsid w:val="00D3704D"/>
    <w:rsid w:val="00D3741F"/>
    <w:rsid w:val="00D4344B"/>
    <w:rsid w:val="00D43928"/>
    <w:rsid w:val="00D47A83"/>
    <w:rsid w:val="00D501FC"/>
    <w:rsid w:val="00D510EA"/>
    <w:rsid w:val="00D5149A"/>
    <w:rsid w:val="00D51EFF"/>
    <w:rsid w:val="00D52422"/>
    <w:rsid w:val="00D52D4D"/>
    <w:rsid w:val="00D55D08"/>
    <w:rsid w:val="00D55E90"/>
    <w:rsid w:val="00D56CB3"/>
    <w:rsid w:val="00D6113D"/>
    <w:rsid w:val="00D624A2"/>
    <w:rsid w:val="00D62658"/>
    <w:rsid w:val="00D634C9"/>
    <w:rsid w:val="00D64241"/>
    <w:rsid w:val="00D64D32"/>
    <w:rsid w:val="00D663F2"/>
    <w:rsid w:val="00D665A8"/>
    <w:rsid w:val="00D703B5"/>
    <w:rsid w:val="00D70822"/>
    <w:rsid w:val="00D715A9"/>
    <w:rsid w:val="00D72AE8"/>
    <w:rsid w:val="00D72CAA"/>
    <w:rsid w:val="00D73650"/>
    <w:rsid w:val="00D73F4C"/>
    <w:rsid w:val="00D7721F"/>
    <w:rsid w:val="00D773B3"/>
    <w:rsid w:val="00D829D3"/>
    <w:rsid w:val="00D83271"/>
    <w:rsid w:val="00D8582F"/>
    <w:rsid w:val="00D86029"/>
    <w:rsid w:val="00D86249"/>
    <w:rsid w:val="00D87572"/>
    <w:rsid w:val="00D9010B"/>
    <w:rsid w:val="00D9081B"/>
    <w:rsid w:val="00D93D04"/>
    <w:rsid w:val="00D953F4"/>
    <w:rsid w:val="00D96473"/>
    <w:rsid w:val="00D96DEF"/>
    <w:rsid w:val="00D97F2E"/>
    <w:rsid w:val="00DA2057"/>
    <w:rsid w:val="00DA262E"/>
    <w:rsid w:val="00DA3B6B"/>
    <w:rsid w:val="00DA4321"/>
    <w:rsid w:val="00DA5324"/>
    <w:rsid w:val="00DA6214"/>
    <w:rsid w:val="00DA7B5D"/>
    <w:rsid w:val="00DB0390"/>
    <w:rsid w:val="00DB1380"/>
    <w:rsid w:val="00DB17DC"/>
    <w:rsid w:val="00DB20C4"/>
    <w:rsid w:val="00DB3DFA"/>
    <w:rsid w:val="00DB4611"/>
    <w:rsid w:val="00DB7B04"/>
    <w:rsid w:val="00DC04E9"/>
    <w:rsid w:val="00DC1515"/>
    <w:rsid w:val="00DC1DCE"/>
    <w:rsid w:val="00DC2491"/>
    <w:rsid w:val="00DC4D65"/>
    <w:rsid w:val="00DC6AFF"/>
    <w:rsid w:val="00DC6FF2"/>
    <w:rsid w:val="00DC7182"/>
    <w:rsid w:val="00DD37AC"/>
    <w:rsid w:val="00DD61E9"/>
    <w:rsid w:val="00DD70D3"/>
    <w:rsid w:val="00DE05D9"/>
    <w:rsid w:val="00DE082A"/>
    <w:rsid w:val="00DE1AA2"/>
    <w:rsid w:val="00DE4338"/>
    <w:rsid w:val="00DE4AB6"/>
    <w:rsid w:val="00DE5E38"/>
    <w:rsid w:val="00DE67BB"/>
    <w:rsid w:val="00DE6B20"/>
    <w:rsid w:val="00DE714D"/>
    <w:rsid w:val="00DE7609"/>
    <w:rsid w:val="00DF21A4"/>
    <w:rsid w:val="00DF2709"/>
    <w:rsid w:val="00DF3D42"/>
    <w:rsid w:val="00DF4490"/>
    <w:rsid w:val="00DF511D"/>
    <w:rsid w:val="00DF79A0"/>
    <w:rsid w:val="00DF7B84"/>
    <w:rsid w:val="00E01686"/>
    <w:rsid w:val="00E03D70"/>
    <w:rsid w:val="00E040D6"/>
    <w:rsid w:val="00E0423A"/>
    <w:rsid w:val="00E05272"/>
    <w:rsid w:val="00E05839"/>
    <w:rsid w:val="00E06297"/>
    <w:rsid w:val="00E12249"/>
    <w:rsid w:val="00E12AFC"/>
    <w:rsid w:val="00E13D20"/>
    <w:rsid w:val="00E159F3"/>
    <w:rsid w:val="00E162C5"/>
    <w:rsid w:val="00E17A9F"/>
    <w:rsid w:val="00E17E17"/>
    <w:rsid w:val="00E212AB"/>
    <w:rsid w:val="00E2172E"/>
    <w:rsid w:val="00E21C16"/>
    <w:rsid w:val="00E22403"/>
    <w:rsid w:val="00E22BDA"/>
    <w:rsid w:val="00E241E9"/>
    <w:rsid w:val="00E24769"/>
    <w:rsid w:val="00E24B35"/>
    <w:rsid w:val="00E305B5"/>
    <w:rsid w:val="00E312D7"/>
    <w:rsid w:val="00E31966"/>
    <w:rsid w:val="00E31B29"/>
    <w:rsid w:val="00E32B08"/>
    <w:rsid w:val="00E33105"/>
    <w:rsid w:val="00E33830"/>
    <w:rsid w:val="00E33FF3"/>
    <w:rsid w:val="00E346D1"/>
    <w:rsid w:val="00E34DF0"/>
    <w:rsid w:val="00E36301"/>
    <w:rsid w:val="00E375DE"/>
    <w:rsid w:val="00E37A0E"/>
    <w:rsid w:val="00E4099E"/>
    <w:rsid w:val="00E417DE"/>
    <w:rsid w:val="00E42CBB"/>
    <w:rsid w:val="00E43238"/>
    <w:rsid w:val="00E50543"/>
    <w:rsid w:val="00E52FB1"/>
    <w:rsid w:val="00E54F6E"/>
    <w:rsid w:val="00E575FE"/>
    <w:rsid w:val="00E61309"/>
    <w:rsid w:val="00E649E3"/>
    <w:rsid w:val="00E655AF"/>
    <w:rsid w:val="00E65A09"/>
    <w:rsid w:val="00E66A9C"/>
    <w:rsid w:val="00E6700D"/>
    <w:rsid w:val="00E6752B"/>
    <w:rsid w:val="00E72F86"/>
    <w:rsid w:val="00E738FF"/>
    <w:rsid w:val="00E742C2"/>
    <w:rsid w:val="00E762E2"/>
    <w:rsid w:val="00E7725D"/>
    <w:rsid w:val="00E774F3"/>
    <w:rsid w:val="00E77559"/>
    <w:rsid w:val="00E809E8"/>
    <w:rsid w:val="00E82CF9"/>
    <w:rsid w:val="00E8310A"/>
    <w:rsid w:val="00E835AB"/>
    <w:rsid w:val="00E845BD"/>
    <w:rsid w:val="00E86D3E"/>
    <w:rsid w:val="00E87060"/>
    <w:rsid w:val="00E873AE"/>
    <w:rsid w:val="00E9121C"/>
    <w:rsid w:val="00E912B2"/>
    <w:rsid w:val="00E92849"/>
    <w:rsid w:val="00E92EEE"/>
    <w:rsid w:val="00E93D6C"/>
    <w:rsid w:val="00E94E2D"/>
    <w:rsid w:val="00E9569E"/>
    <w:rsid w:val="00E96520"/>
    <w:rsid w:val="00EA028B"/>
    <w:rsid w:val="00EA1A5F"/>
    <w:rsid w:val="00EA2BCB"/>
    <w:rsid w:val="00EA46BB"/>
    <w:rsid w:val="00EA6281"/>
    <w:rsid w:val="00EA6D57"/>
    <w:rsid w:val="00EB1B22"/>
    <w:rsid w:val="00EB3E48"/>
    <w:rsid w:val="00EB5006"/>
    <w:rsid w:val="00EB61D1"/>
    <w:rsid w:val="00EB705A"/>
    <w:rsid w:val="00EB734F"/>
    <w:rsid w:val="00EB7583"/>
    <w:rsid w:val="00EC0FB9"/>
    <w:rsid w:val="00EC1C27"/>
    <w:rsid w:val="00EC2406"/>
    <w:rsid w:val="00EC299B"/>
    <w:rsid w:val="00EC2E09"/>
    <w:rsid w:val="00EC4D7C"/>
    <w:rsid w:val="00EC62C8"/>
    <w:rsid w:val="00EC62E4"/>
    <w:rsid w:val="00EC67E1"/>
    <w:rsid w:val="00ED16CC"/>
    <w:rsid w:val="00ED262E"/>
    <w:rsid w:val="00ED4C00"/>
    <w:rsid w:val="00ED5176"/>
    <w:rsid w:val="00ED7F33"/>
    <w:rsid w:val="00EE1806"/>
    <w:rsid w:val="00EE68E4"/>
    <w:rsid w:val="00EF3B63"/>
    <w:rsid w:val="00EF48F6"/>
    <w:rsid w:val="00EF717C"/>
    <w:rsid w:val="00F00AEA"/>
    <w:rsid w:val="00F00E24"/>
    <w:rsid w:val="00F036A2"/>
    <w:rsid w:val="00F06293"/>
    <w:rsid w:val="00F07749"/>
    <w:rsid w:val="00F07D76"/>
    <w:rsid w:val="00F107C0"/>
    <w:rsid w:val="00F11E68"/>
    <w:rsid w:val="00F12DA6"/>
    <w:rsid w:val="00F13460"/>
    <w:rsid w:val="00F14074"/>
    <w:rsid w:val="00F144AD"/>
    <w:rsid w:val="00F14C13"/>
    <w:rsid w:val="00F14EC2"/>
    <w:rsid w:val="00F14F3A"/>
    <w:rsid w:val="00F16260"/>
    <w:rsid w:val="00F202B6"/>
    <w:rsid w:val="00F20643"/>
    <w:rsid w:val="00F2270C"/>
    <w:rsid w:val="00F22CEC"/>
    <w:rsid w:val="00F24472"/>
    <w:rsid w:val="00F26426"/>
    <w:rsid w:val="00F3062A"/>
    <w:rsid w:val="00F3227B"/>
    <w:rsid w:val="00F33153"/>
    <w:rsid w:val="00F37913"/>
    <w:rsid w:val="00F404D1"/>
    <w:rsid w:val="00F419C0"/>
    <w:rsid w:val="00F42526"/>
    <w:rsid w:val="00F44FC1"/>
    <w:rsid w:val="00F46570"/>
    <w:rsid w:val="00F46954"/>
    <w:rsid w:val="00F47805"/>
    <w:rsid w:val="00F47CA3"/>
    <w:rsid w:val="00F5356D"/>
    <w:rsid w:val="00F538CA"/>
    <w:rsid w:val="00F5703F"/>
    <w:rsid w:val="00F61E10"/>
    <w:rsid w:val="00F64349"/>
    <w:rsid w:val="00F64F27"/>
    <w:rsid w:val="00F656BF"/>
    <w:rsid w:val="00F65AB6"/>
    <w:rsid w:val="00F66A4D"/>
    <w:rsid w:val="00F67D0E"/>
    <w:rsid w:val="00F70123"/>
    <w:rsid w:val="00F712C6"/>
    <w:rsid w:val="00F72DA2"/>
    <w:rsid w:val="00F74674"/>
    <w:rsid w:val="00F7593A"/>
    <w:rsid w:val="00F75C68"/>
    <w:rsid w:val="00F75C7B"/>
    <w:rsid w:val="00F778D2"/>
    <w:rsid w:val="00F80C32"/>
    <w:rsid w:val="00F80D2E"/>
    <w:rsid w:val="00F82CFE"/>
    <w:rsid w:val="00F83514"/>
    <w:rsid w:val="00F83750"/>
    <w:rsid w:val="00F83F53"/>
    <w:rsid w:val="00F859AD"/>
    <w:rsid w:val="00F85D7E"/>
    <w:rsid w:val="00F87884"/>
    <w:rsid w:val="00F90052"/>
    <w:rsid w:val="00F9013F"/>
    <w:rsid w:val="00F913F2"/>
    <w:rsid w:val="00F91FAD"/>
    <w:rsid w:val="00F92330"/>
    <w:rsid w:val="00F93CAE"/>
    <w:rsid w:val="00F9551C"/>
    <w:rsid w:val="00F959FE"/>
    <w:rsid w:val="00F978FF"/>
    <w:rsid w:val="00FA0A66"/>
    <w:rsid w:val="00FA0CE7"/>
    <w:rsid w:val="00FA0D3B"/>
    <w:rsid w:val="00FA0F83"/>
    <w:rsid w:val="00FA111F"/>
    <w:rsid w:val="00FA170F"/>
    <w:rsid w:val="00FA2357"/>
    <w:rsid w:val="00FA23BC"/>
    <w:rsid w:val="00FA3740"/>
    <w:rsid w:val="00FA44F5"/>
    <w:rsid w:val="00FA5895"/>
    <w:rsid w:val="00FA5982"/>
    <w:rsid w:val="00FA63D6"/>
    <w:rsid w:val="00FA74C4"/>
    <w:rsid w:val="00FA7797"/>
    <w:rsid w:val="00FB02E9"/>
    <w:rsid w:val="00FB16EC"/>
    <w:rsid w:val="00FB19DB"/>
    <w:rsid w:val="00FB3A5F"/>
    <w:rsid w:val="00FB3EEA"/>
    <w:rsid w:val="00FB4EA9"/>
    <w:rsid w:val="00FB5A16"/>
    <w:rsid w:val="00FB6F0A"/>
    <w:rsid w:val="00FB7BF0"/>
    <w:rsid w:val="00FC082D"/>
    <w:rsid w:val="00FC17A6"/>
    <w:rsid w:val="00FC2726"/>
    <w:rsid w:val="00FC2FC2"/>
    <w:rsid w:val="00FC308A"/>
    <w:rsid w:val="00FC325E"/>
    <w:rsid w:val="00FC3954"/>
    <w:rsid w:val="00FC49BE"/>
    <w:rsid w:val="00FC5658"/>
    <w:rsid w:val="00FC5EEE"/>
    <w:rsid w:val="00FC663F"/>
    <w:rsid w:val="00FC7E17"/>
    <w:rsid w:val="00FD077E"/>
    <w:rsid w:val="00FD31F2"/>
    <w:rsid w:val="00FD584A"/>
    <w:rsid w:val="00FD61A4"/>
    <w:rsid w:val="00FD7D7D"/>
    <w:rsid w:val="00FE062D"/>
    <w:rsid w:val="00FE087E"/>
    <w:rsid w:val="00FE1312"/>
    <w:rsid w:val="00FE3475"/>
    <w:rsid w:val="00FE48BC"/>
    <w:rsid w:val="00FF156E"/>
    <w:rsid w:val="00FF17BA"/>
    <w:rsid w:val="00FF2ECC"/>
    <w:rsid w:val="00FF49B7"/>
    <w:rsid w:val="00FF4DC0"/>
    <w:rsid w:val="00FF74C0"/>
    <w:rsid w:val="6A5A862D"/>
    <w:rsid w:val="712A0D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67E36A"/>
  <w15:chartTrackingRefBased/>
  <w15:docId w15:val="{BC55CE51-9DAA-491E-9701-8012BA7E2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C320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D7391"/>
    <w:pPr>
      <w:keepNext/>
      <w:keepLines/>
      <w:spacing w:before="40" w:after="0"/>
      <w:outlineLvl w:val="1"/>
    </w:pPr>
    <w:rPr>
      <w:rFonts w:asciiTheme="majorHAnsi" w:eastAsiaTheme="majorEastAsia" w:hAnsiTheme="majorHAnsi" w:cstheme="majorBidi"/>
      <w:color w:val="2F5496" w:themeColor="accent1" w:themeShade="BF"/>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List Paragraph1,List Paragraph11"/>
    <w:basedOn w:val="Normal"/>
    <w:link w:val="ListParagraphChar"/>
    <w:uiPriority w:val="34"/>
    <w:qFormat/>
    <w:rsid w:val="00BC320C"/>
    <w:pPr>
      <w:ind w:left="720"/>
      <w:contextualSpacing/>
    </w:pPr>
  </w:style>
  <w:style w:type="character" w:customStyle="1" w:styleId="Heading1Char">
    <w:name w:val="Heading 1 Char"/>
    <w:basedOn w:val="DefaultParagraphFont"/>
    <w:link w:val="Heading1"/>
    <w:uiPriority w:val="9"/>
    <w:rsid w:val="00BC320C"/>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4B37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37A3"/>
    <w:rPr>
      <w:rFonts w:ascii="Segoe UI" w:hAnsi="Segoe UI" w:cs="Segoe UI"/>
      <w:sz w:val="18"/>
      <w:szCs w:val="18"/>
    </w:rPr>
  </w:style>
  <w:style w:type="character" w:styleId="CommentReference">
    <w:name w:val="annotation reference"/>
    <w:basedOn w:val="DefaultParagraphFont"/>
    <w:uiPriority w:val="99"/>
    <w:semiHidden/>
    <w:unhideWhenUsed/>
    <w:rsid w:val="004B37A3"/>
    <w:rPr>
      <w:sz w:val="16"/>
      <w:szCs w:val="16"/>
    </w:rPr>
  </w:style>
  <w:style w:type="paragraph" w:styleId="CommentText">
    <w:name w:val="annotation text"/>
    <w:basedOn w:val="Normal"/>
    <w:link w:val="CommentTextChar"/>
    <w:uiPriority w:val="99"/>
    <w:unhideWhenUsed/>
    <w:rsid w:val="004B37A3"/>
    <w:pPr>
      <w:spacing w:line="240" w:lineRule="auto"/>
    </w:pPr>
    <w:rPr>
      <w:sz w:val="20"/>
      <w:szCs w:val="20"/>
    </w:rPr>
  </w:style>
  <w:style w:type="character" w:customStyle="1" w:styleId="CommentTextChar">
    <w:name w:val="Comment Text Char"/>
    <w:basedOn w:val="DefaultParagraphFont"/>
    <w:link w:val="CommentText"/>
    <w:uiPriority w:val="99"/>
    <w:rsid w:val="004B37A3"/>
    <w:rPr>
      <w:sz w:val="20"/>
      <w:szCs w:val="20"/>
    </w:rPr>
  </w:style>
  <w:style w:type="paragraph" w:styleId="CommentSubject">
    <w:name w:val="annotation subject"/>
    <w:basedOn w:val="CommentText"/>
    <w:next w:val="CommentText"/>
    <w:link w:val="CommentSubjectChar"/>
    <w:uiPriority w:val="99"/>
    <w:semiHidden/>
    <w:unhideWhenUsed/>
    <w:rsid w:val="004B37A3"/>
    <w:rPr>
      <w:b/>
      <w:bCs/>
    </w:rPr>
  </w:style>
  <w:style w:type="character" w:customStyle="1" w:styleId="CommentSubjectChar">
    <w:name w:val="Comment Subject Char"/>
    <w:basedOn w:val="CommentTextChar"/>
    <w:link w:val="CommentSubject"/>
    <w:uiPriority w:val="99"/>
    <w:semiHidden/>
    <w:rsid w:val="004B37A3"/>
    <w:rPr>
      <w:b/>
      <w:bCs/>
      <w:sz w:val="20"/>
      <w:szCs w:val="20"/>
    </w:rPr>
  </w:style>
  <w:style w:type="table" w:styleId="TableGrid">
    <w:name w:val="Table Grid"/>
    <w:basedOn w:val="TableNormal"/>
    <w:uiPriority w:val="39"/>
    <w:rsid w:val="00DB13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8511F"/>
    <w:pPr>
      <w:spacing w:after="0" w:line="240" w:lineRule="auto"/>
    </w:pPr>
  </w:style>
  <w:style w:type="paragraph" w:styleId="NormalWeb">
    <w:name w:val="Normal (Web)"/>
    <w:basedOn w:val="Normal"/>
    <w:uiPriority w:val="99"/>
    <w:unhideWhenUsed/>
    <w:rsid w:val="00AB356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37A0E"/>
    <w:rPr>
      <w:color w:val="0563C1" w:themeColor="hyperlink"/>
      <w:u w:val="single"/>
    </w:rPr>
  </w:style>
  <w:style w:type="character" w:styleId="UnresolvedMention">
    <w:name w:val="Unresolved Mention"/>
    <w:basedOn w:val="DefaultParagraphFont"/>
    <w:uiPriority w:val="99"/>
    <w:semiHidden/>
    <w:unhideWhenUsed/>
    <w:rsid w:val="00E37A0E"/>
    <w:rPr>
      <w:color w:val="605E5C"/>
      <w:shd w:val="clear" w:color="auto" w:fill="E1DFDD"/>
    </w:rPr>
  </w:style>
  <w:style w:type="character" w:customStyle="1" w:styleId="s1">
    <w:name w:val="s1"/>
    <w:basedOn w:val="DefaultParagraphFont"/>
    <w:rsid w:val="00CF0666"/>
  </w:style>
  <w:style w:type="paragraph" w:styleId="Header">
    <w:name w:val="header"/>
    <w:basedOn w:val="Normal"/>
    <w:link w:val="HeaderChar"/>
    <w:uiPriority w:val="99"/>
    <w:unhideWhenUsed/>
    <w:rsid w:val="00434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4D8D"/>
  </w:style>
  <w:style w:type="paragraph" w:styleId="Footer">
    <w:name w:val="footer"/>
    <w:basedOn w:val="Normal"/>
    <w:link w:val="FooterChar"/>
    <w:uiPriority w:val="99"/>
    <w:unhideWhenUsed/>
    <w:rsid w:val="00434D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4D8D"/>
  </w:style>
  <w:style w:type="paragraph" w:styleId="Date">
    <w:name w:val="Date"/>
    <w:basedOn w:val="Normal"/>
    <w:next w:val="Normal"/>
    <w:link w:val="DateChar"/>
    <w:uiPriority w:val="99"/>
    <w:unhideWhenUsed/>
    <w:rsid w:val="00434D8D"/>
  </w:style>
  <w:style w:type="character" w:customStyle="1" w:styleId="DateChar">
    <w:name w:val="Date Char"/>
    <w:basedOn w:val="DefaultParagraphFont"/>
    <w:link w:val="Date"/>
    <w:uiPriority w:val="99"/>
    <w:rsid w:val="00434D8D"/>
  </w:style>
  <w:style w:type="table" w:customStyle="1" w:styleId="TableGrid1">
    <w:name w:val="Table Grid1"/>
    <w:basedOn w:val="TableNormal"/>
    <w:next w:val="TableGrid"/>
    <w:uiPriority w:val="39"/>
    <w:rsid w:val="00434D8D"/>
    <w:pPr>
      <w:spacing w:after="0" w:line="240" w:lineRule="auto"/>
    </w:pPr>
    <w:rPr>
      <w:sz w:val="20"/>
      <w:lang w:val="en-AU"/>
    </w:rPr>
    <w:tblPr>
      <w:tblStyleRowBandSize w:val="1"/>
      <w:tblCellMar>
        <w:top w:w="57" w:type="dxa"/>
        <w:left w:w="57" w:type="dxa"/>
        <w:bottom w:w="57" w:type="dxa"/>
        <w:right w:w="85" w:type="dxa"/>
      </w:tblCellMar>
    </w:tblPr>
    <w:tblStylePr w:type="firstRow">
      <w:rPr>
        <w:b/>
        <w:color w:val="FFFFFF"/>
      </w:rPr>
      <w:tblPr/>
      <w:tcPr>
        <w:shd w:val="clear" w:color="auto" w:fill="094183"/>
      </w:tcPr>
    </w:tblStylePr>
    <w:tblStylePr w:type="lastRow">
      <w:tblPr/>
      <w:tcPr>
        <w:tcBorders>
          <w:top w:val="single" w:sz="8" w:space="0" w:color="FFFFFF"/>
          <w:left w:val="nil"/>
          <w:bottom w:val="nil"/>
          <w:right w:val="nil"/>
          <w:insideH w:val="nil"/>
          <w:insideV w:val="nil"/>
          <w:tl2br w:val="nil"/>
          <w:tr2bl w:val="nil"/>
        </w:tcBorders>
        <w:shd w:val="clear" w:color="auto" w:fill="F2F2F2"/>
      </w:tcPr>
    </w:tblStylePr>
    <w:tblStylePr w:type="firstCol">
      <w:rPr>
        <w:b/>
      </w:rPr>
    </w:tblStylePr>
    <w:tblStylePr w:type="lastCol">
      <w:pPr>
        <w:wordWrap/>
        <w:jc w:val="right"/>
      </w:pPr>
    </w:tblStylePr>
    <w:tblStylePr w:type="band1Horz">
      <w:tblPr/>
      <w:tcPr>
        <w:shd w:val="clear" w:color="auto" w:fill="FFFFFF"/>
      </w:tcPr>
    </w:tblStylePr>
    <w:tblStylePr w:type="band2Horz">
      <w:tblPr/>
      <w:tcPr>
        <w:shd w:val="clear" w:color="auto" w:fill="F2F2F2"/>
      </w:tcPr>
    </w:tblStylePr>
  </w:style>
  <w:style w:type="paragraph" w:customStyle="1" w:styleId="Footerright">
    <w:name w:val="Footer right"/>
    <w:basedOn w:val="Normal"/>
    <w:rsid w:val="00434D8D"/>
    <w:pPr>
      <w:framePr w:w="1701" w:h="1043" w:hRule="exact" w:wrap="around" w:vAnchor="page" w:hAnchor="margin" w:xAlign="right" w:yAlign="bottom" w:anchorLock="1"/>
      <w:tabs>
        <w:tab w:val="center" w:pos="4513"/>
        <w:tab w:val="right" w:pos="9026"/>
      </w:tabs>
      <w:spacing w:after="0" w:line="240" w:lineRule="auto"/>
      <w:jc w:val="right"/>
    </w:pPr>
    <w:rPr>
      <w:color w:val="094183"/>
      <w:sz w:val="24"/>
      <w:lang w:val="en-AU"/>
    </w:rPr>
  </w:style>
  <w:style w:type="paragraph" w:styleId="FootnoteText">
    <w:name w:val="footnote text"/>
    <w:basedOn w:val="Normal"/>
    <w:link w:val="FootnoteTextChar"/>
    <w:uiPriority w:val="99"/>
    <w:semiHidden/>
    <w:unhideWhenUsed/>
    <w:rsid w:val="00434D8D"/>
    <w:pPr>
      <w:spacing w:after="0" w:line="240" w:lineRule="auto"/>
    </w:pPr>
    <w:rPr>
      <w:sz w:val="20"/>
      <w:szCs w:val="20"/>
      <w:lang w:val="en-AU"/>
    </w:rPr>
  </w:style>
  <w:style w:type="character" w:customStyle="1" w:styleId="FootnoteTextChar">
    <w:name w:val="Footnote Text Char"/>
    <w:basedOn w:val="DefaultParagraphFont"/>
    <w:link w:val="FootnoteText"/>
    <w:uiPriority w:val="99"/>
    <w:semiHidden/>
    <w:rsid w:val="00434D8D"/>
    <w:rPr>
      <w:sz w:val="20"/>
      <w:szCs w:val="20"/>
      <w:lang w:val="en-AU"/>
    </w:rPr>
  </w:style>
  <w:style w:type="character" w:styleId="FootnoteReference">
    <w:name w:val="footnote reference"/>
    <w:basedOn w:val="DefaultParagraphFont"/>
    <w:uiPriority w:val="99"/>
    <w:semiHidden/>
    <w:unhideWhenUsed/>
    <w:rsid w:val="00434D8D"/>
    <w:rPr>
      <w:vertAlign w:val="superscript"/>
    </w:rPr>
  </w:style>
  <w:style w:type="table" w:customStyle="1" w:styleId="TableGrid2">
    <w:name w:val="Table Grid2"/>
    <w:basedOn w:val="TableNormal"/>
    <w:next w:val="TableGrid"/>
    <w:uiPriority w:val="39"/>
    <w:rsid w:val="00434D8D"/>
    <w:pPr>
      <w:spacing w:after="0" w:line="240" w:lineRule="auto"/>
    </w:pPr>
    <w:rPr>
      <w:sz w:val="20"/>
      <w:lang w:val="en-AU"/>
    </w:rPr>
    <w:tblPr>
      <w:tblStyleRowBandSize w:val="1"/>
      <w:tblCellMar>
        <w:top w:w="57" w:type="dxa"/>
        <w:left w:w="57" w:type="dxa"/>
        <w:bottom w:w="57" w:type="dxa"/>
        <w:right w:w="85" w:type="dxa"/>
      </w:tblCellMar>
    </w:tblPr>
    <w:tblStylePr w:type="firstRow">
      <w:rPr>
        <w:b/>
        <w:color w:val="FFFFFF"/>
      </w:rPr>
      <w:tblPr/>
      <w:tcPr>
        <w:shd w:val="clear" w:color="auto" w:fill="094183"/>
      </w:tcPr>
    </w:tblStylePr>
    <w:tblStylePr w:type="lastRow">
      <w:tblPr/>
      <w:tcPr>
        <w:tcBorders>
          <w:top w:val="single" w:sz="8" w:space="0" w:color="FFFFFF"/>
          <w:left w:val="nil"/>
          <w:bottom w:val="nil"/>
          <w:right w:val="nil"/>
          <w:insideH w:val="nil"/>
          <w:insideV w:val="nil"/>
          <w:tl2br w:val="nil"/>
          <w:tr2bl w:val="nil"/>
        </w:tcBorders>
        <w:shd w:val="clear" w:color="auto" w:fill="F2F2F2"/>
      </w:tcPr>
    </w:tblStylePr>
    <w:tblStylePr w:type="firstCol">
      <w:rPr>
        <w:b/>
      </w:rPr>
    </w:tblStylePr>
    <w:tblStylePr w:type="lastCol">
      <w:pPr>
        <w:wordWrap/>
        <w:jc w:val="right"/>
      </w:pPr>
    </w:tblStylePr>
    <w:tblStylePr w:type="band1Horz">
      <w:tblPr/>
      <w:tcPr>
        <w:shd w:val="clear" w:color="auto" w:fill="FFFFFF"/>
      </w:tcPr>
    </w:tblStylePr>
    <w:tblStylePr w:type="band2Horz">
      <w:tblPr/>
      <w:tcPr>
        <w:shd w:val="clear" w:color="auto" w:fill="F2F2F2"/>
      </w:tcPr>
    </w:tblStylePr>
  </w:style>
  <w:style w:type="paragraph" w:styleId="TOC1">
    <w:name w:val="toc 1"/>
    <w:basedOn w:val="Normal"/>
    <w:next w:val="Normal"/>
    <w:autoRedefine/>
    <w:uiPriority w:val="39"/>
    <w:unhideWhenUsed/>
    <w:rsid w:val="00DA262E"/>
    <w:pPr>
      <w:spacing w:after="100"/>
    </w:pPr>
  </w:style>
  <w:style w:type="paragraph" w:styleId="NoSpacing">
    <w:name w:val="No Spacing"/>
    <w:uiPriority w:val="1"/>
    <w:qFormat/>
    <w:rsid w:val="00717A0F"/>
    <w:pPr>
      <w:spacing w:after="0" w:line="240" w:lineRule="auto"/>
    </w:pPr>
  </w:style>
  <w:style w:type="paragraph" w:styleId="TOCHeading">
    <w:name w:val="TOC Heading"/>
    <w:basedOn w:val="Heading1"/>
    <w:next w:val="Normal"/>
    <w:uiPriority w:val="39"/>
    <w:unhideWhenUsed/>
    <w:qFormat/>
    <w:rsid w:val="00F26426"/>
    <w:pPr>
      <w:outlineLvl w:val="9"/>
    </w:pPr>
    <w:rPr>
      <w:lang w:eastAsia="en-US"/>
    </w:rPr>
  </w:style>
  <w:style w:type="paragraph" w:styleId="TOC2">
    <w:name w:val="toc 2"/>
    <w:basedOn w:val="Normal"/>
    <w:next w:val="Normal"/>
    <w:autoRedefine/>
    <w:uiPriority w:val="39"/>
    <w:unhideWhenUsed/>
    <w:rsid w:val="00F26426"/>
    <w:pPr>
      <w:spacing w:after="100"/>
      <w:ind w:left="220"/>
    </w:pPr>
    <w:rPr>
      <w:rFonts w:cs="Times New Roman"/>
      <w:lang w:eastAsia="en-US"/>
    </w:rPr>
  </w:style>
  <w:style w:type="paragraph" w:styleId="TOC3">
    <w:name w:val="toc 3"/>
    <w:basedOn w:val="Normal"/>
    <w:next w:val="Normal"/>
    <w:autoRedefine/>
    <w:uiPriority w:val="39"/>
    <w:unhideWhenUsed/>
    <w:rsid w:val="00F26426"/>
    <w:pPr>
      <w:spacing w:after="100"/>
      <w:ind w:left="440"/>
    </w:pPr>
    <w:rPr>
      <w:rFonts w:cs="Times New Roman"/>
      <w:lang w:eastAsia="en-US"/>
    </w:rPr>
  </w:style>
  <w:style w:type="character" w:customStyle="1" w:styleId="cf01">
    <w:name w:val="cf01"/>
    <w:basedOn w:val="DefaultParagraphFont"/>
    <w:rsid w:val="00510C94"/>
    <w:rPr>
      <w:rFonts w:ascii="Segoe UI" w:hAnsi="Segoe UI" w:cs="Segoe UI" w:hint="default"/>
      <w:sz w:val="18"/>
      <w:szCs w:val="18"/>
    </w:rPr>
  </w:style>
  <w:style w:type="character" w:customStyle="1" w:styleId="ListParagraphChar">
    <w:name w:val="List Paragraph Char"/>
    <w:aliases w:val="F5 List Paragraph Char,List Paragraph1 Char,List Paragraph11 Char"/>
    <w:basedOn w:val="DefaultParagraphFont"/>
    <w:link w:val="ListParagraph"/>
    <w:uiPriority w:val="34"/>
    <w:rsid w:val="001F37A6"/>
  </w:style>
  <w:style w:type="character" w:customStyle="1" w:styleId="Heading2Char">
    <w:name w:val="Heading 2 Char"/>
    <w:basedOn w:val="DefaultParagraphFont"/>
    <w:link w:val="Heading2"/>
    <w:uiPriority w:val="9"/>
    <w:rsid w:val="004D7391"/>
    <w:rPr>
      <w:rFonts w:asciiTheme="majorHAnsi" w:eastAsiaTheme="majorEastAsia" w:hAnsiTheme="majorHAnsi" w:cstheme="majorBidi"/>
      <w:color w:val="2F5496" w:themeColor="accent1" w:themeShade="BF"/>
      <w:sz w:val="26"/>
      <w:szCs w:val="26"/>
      <w:lang w:eastAsia="en-US"/>
    </w:rPr>
  </w:style>
  <w:style w:type="character" w:customStyle="1" w:styleId="normaltextrun">
    <w:name w:val="normaltextrun"/>
    <w:basedOn w:val="DefaultParagraphFont"/>
    <w:rsid w:val="004D7391"/>
  </w:style>
  <w:style w:type="character" w:customStyle="1" w:styleId="eop">
    <w:name w:val="eop"/>
    <w:basedOn w:val="DefaultParagraphFont"/>
    <w:rsid w:val="004D7391"/>
  </w:style>
  <w:style w:type="paragraph" w:customStyle="1" w:styleId="paragraph">
    <w:name w:val="paragraph"/>
    <w:basedOn w:val="Normal"/>
    <w:rsid w:val="009364EF"/>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styleId="FollowedHyperlink">
    <w:name w:val="FollowedHyperlink"/>
    <w:basedOn w:val="DefaultParagraphFont"/>
    <w:uiPriority w:val="99"/>
    <w:semiHidden/>
    <w:unhideWhenUsed/>
    <w:rsid w:val="004A2543"/>
    <w:rPr>
      <w:color w:val="954F72" w:themeColor="followedHyperlink"/>
      <w:u w:val="single"/>
    </w:rPr>
  </w:style>
  <w:style w:type="character" w:styleId="Strong">
    <w:name w:val="Strong"/>
    <w:basedOn w:val="DefaultParagraphFont"/>
    <w:uiPriority w:val="22"/>
    <w:qFormat/>
    <w:rsid w:val="00C85E59"/>
    <w:rPr>
      <w:b/>
      <w:bCs/>
    </w:rPr>
  </w:style>
  <w:style w:type="paragraph" w:customStyle="1" w:styleId="pf0">
    <w:name w:val="pf0"/>
    <w:basedOn w:val="Normal"/>
    <w:rsid w:val="009B04CB"/>
    <w:pPr>
      <w:spacing w:before="100" w:beforeAutospacing="1" w:after="100" w:afterAutospacing="1" w:line="240" w:lineRule="auto"/>
    </w:pPr>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75416">
      <w:bodyDiv w:val="1"/>
      <w:marLeft w:val="0"/>
      <w:marRight w:val="0"/>
      <w:marTop w:val="0"/>
      <w:marBottom w:val="0"/>
      <w:divBdr>
        <w:top w:val="none" w:sz="0" w:space="0" w:color="auto"/>
        <w:left w:val="none" w:sz="0" w:space="0" w:color="auto"/>
        <w:bottom w:val="none" w:sz="0" w:space="0" w:color="auto"/>
        <w:right w:val="none" w:sz="0" w:space="0" w:color="auto"/>
      </w:divBdr>
    </w:div>
    <w:div w:id="79376962">
      <w:bodyDiv w:val="1"/>
      <w:marLeft w:val="0"/>
      <w:marRight w:val="0"/>
      <w:marTop w:val="0"/>
      <w:marBottom w:val="0"/>
      <w:divBdr>
        <w:top w:val="none" w:sz="0" w:space="0" w:color="auto"/>
        <w:left w:val="none" w:sz="0" w:space="0" w:color="auto"/>
        <w:bottom w:val="none" w:sz="0" w:space="0" w:color="auto"/>
        <w:right w:val="none" w:sz="0" w:space="0" w:color="auto"/>
      </w:divBdr>
    </w:div>
    <w:div w:id="155925287">
      <w:bodyDiv w:val="1"/>
      <w:marLeft w:val="0"/>
      <w:marRight w:val="0"/>
      <w:marTop w:val="0"/>
      <w:marBottom w:val="0"/>
      <w:divBdr>
        <w:top w:val="none" w:sz="0" w:space="0" w:color="auto"/>
        <w:left w:val="none" w:sz="0" w:space="0" w:color="auto"/>
        <w:bottom w:val="none" w:sz="0" w:space="0" w:color="auto"/>
        <w:right w:val="none" w:sz="0" w:space="0" w:color="auto"/>
      </w:divBdr>
    </w:div>
    <w:div w:id="293679577">
      <w:bodyDiv w:val="1"/>
      <w:marLeft w:val="0"/>
      <w:marRight w:val="0"/>
      <w:marTop w:val="0"/>
      <w:marBottom w:val="0"/>
      <w:divBdr>
        <w:top w:val="none" w:sz="0" w:space="0" w:color="auto"/>
        <w:left w:val="none" w:sz="0" w:space="0" w:color="auto"/>
        <w:bottom w:val="none" w:sz="0" w:space="0" w:color="auto"/>
        <w:right w:val="none" w:sz="0" w:space="0" w:color="auto"/>
      </w:divBdr>
    </w:div>
    <w:div w:id="329254534">
      <w:bodyDiv w:val="1"/>
      <w:marLeft w:val="0"/>
      <w:marRight w:val="0"/>
      <w:marTop w:val="0"/>
      <w:marBottom w:val="0"/>
      <w:divBdr>
        <w:top w:val="none" w:sz="0" w:space="0" w:color="auto"/>
        <w:left w:val="none" w:sz="0" w:space="0" w:color="auto"/>
        <w:bottom w:val="none" w:sz="0" w:space="0" w:color="auto"/>
        <w:right w:val="none" w:sz="0" w:space="0" w:color="auto"/>
      </w:divBdr>
    </w:div>
    <w:div w:id="355664164">
      <w:bodyDiv w:val="1"/>
      <w:marLeft w:val="0"/>
      <w:marRight w:val="0"/>
      <w:marTop w:val="0"/>
      <w:marBottom w:val="0"/>
      <w:divBdr>
        <w:top w:val="none" w:sz="0" w:space="0" w:color="auto"/>
        <w:left w:val="none" w:sz="0" w:space="0" w:color="auto"/>
        <w:bottom w:val="none" w:sz="0" w:space="0" w:color="auto"/>
        <w:right w:val="none" w:sz="0" w:space="0" w:color="auto"/>
      </w:divBdr>
    </w:div>
    <w:div w:id="510920694">
      <w:bodyDiv w:val="1"/>
      <w:marLeft w:val="0"/>
      <w:marRight w:val="0"/>
      <w:marTop w:val="0"/>
      <w:marBottom w:val="0"/>
      <w:divBdr>
        <w:top w:val="none" w:sz="0" w:space="0" w:color="auto"/>
        <w:left w:val="none" w:sz="0" w:space="0" w:color="auto"/>
        <w:bottom w:val="none" w:sz="0" w:space="0" w:color="auto"/>
        <w:right w:val="none" w:sz="0" w:space="0" w:color="auto"/>
      </w:divBdr>
      <w:divsChild>
        <w:div w:id="2031250651">
          <w:marLeft w:val="706"/>
          <w:marRight w:val="0"/>
          <w:marTop w:val="120"/>
          <w:marBottom w:val="120"/>
          <w:divBdr>
            <w:top w:val="none" w:sz="0" w:space="0" w:color="auto"/>
            <w:left w:val="none" w:sz="0" w:space="0" w:color="auto"/>
            <w:bottom w:val="none" w:sz="0" w:space="0" w:color="auto"/>
            <w:right w:val="none" w:sz="0" w:space="0" w:color="auto"/>
          </w:divBdr>
        </w:div>
        <w:div w:id="257836199">
          <w:marLeft w:val="706"/>
          <w:marRight w:val="0"/>
          <w:marTop w:val="120"/>
          <w:marBottom w:val="120"/>
          <w:divBdr>
            <w:top w:val="none" w:sz="0" w:space="0" w:color="auto"/>
            <w:left w:val="none" w:sz="0" w:space="0" w:color="auto"/>
            <w:bottom w:val="none" w:sz="0" w:space="0" w:color="auto"/>
            <w:right w:val="none" w:sz="0" w:space="0" w:color="auto"/>
          </w:divBdr>
        </w:div>
        <w:div w:id="86966997">
          <w:marLeft w:val="706"/>
          <w:marRight w:val="0"/>
          <w:marTop w:val="120"/>
          <w:marBottom w:val="120"/>
          <w:divBdr>
            <w:top w:val="none" w:sz="0" w:space="0" w:color="auto"/>
            <w:left w:val="none" w:sz="0" w:space="0" w:color="auto"/>
            <w:bottom w:val="none" w:sz="0" w:space="0" w:color="auto"/>
            <w:right w:val="none" w:sz="0" w:space="0" w:color="auto"/>
          </w:divBdr>
        </w:div>
      </w:divsChild>
    </w:div>
    <w:div w:id="536702193">
      <w:bodyDiv w:val="1"/>
      <w:marLeft w:val="0"/>
      <w:marRight w:val="0"/>
      <w:marTop w:val="0"/>
      <w:marBottom w:val="0"/>
      <w:divBdr>
        <w:top w:val="none" w:sz="0" w:space="0" w:color="auto"/>
        <w:left w:val="none" w:sz="0" w:space="0" w:color="auto"/>
        <w:bottom w:val="none" w:sz="0" w:space="0" w:color="auto"/>
        <w:right w:val="none" w:sz="0" w:space="0" w:color="auto"/>
      </w:divBdr>
    </w:div>
    <w:div w:id="592663116">
      <w:bodyDiv w:val="1"/>
      <w:marLeft w:val="0"/>
      <w:marRight w:val="0"/>
      <w:marTop w:val="0"/>
      <w:marBottom w:val="0"/>
      <w:divBdr>
        <w:top w:val="none" w:sz="0" w:space="0" w:color="auto"/>
        <w:left w:val="none" w:sz="0" w:space="0" w:color="auto"/>
        <w:bottom w:val="none" w:sz="0" w:space="0" w:color="auto"/>
        <w:right w:val="none" w:sz="0" w:space="0" w:color="auto"/>
      </w:divBdr>
      <w:divsChild>
        <w:div w:id="2128691494">
          <w:marLeft w:val="706"/>
          <w:marRight w:val="0"/>
          <w:marTop w:val="0"/>
          <w:marBottom w:val="0"/>
          <w:divBdr>
            <w:top w:val="none" w:sz="0" w:space="0" w:color="auto"/>
            <w:left w:val="none" w:sz="0" w:space="0" w:color="auto"/>
            <w:bottom w:val="none" w:sz="0" w:space="0" w:color="auto"/>
            <w:right w:val="none" w:sz="0" w:space="0" w:color="auto"/>
          </w:divBdr>
        </w:div>
        <w:div w:id="1960182724">
          <w:marLeft w:val="706"/>
          <w:marRight w:val="0"/>
          <w:marTop w:val="0"/>
          <w:marBottom w:val="0"/>
          <w:divBdr>
            <w:top w:val="none" w:sz="0" w:space="0" w:color="auto"/>
            <w:left w:val="none" w:sz="0" w:space="0" w:color="auto"/>
            <w:bottom w:val="none" w:sz="0" w:space="0" w:color="auto"/>
            <w:right w:val="none" w:sz="0" w:space="0" w:color="auto"/>
          </w:divBdr>
        </w:div>
        <w:div w:id="445470575">
          <w:marLeft w:val="706"/>
          <w:marRight w:val="0"/>
          <w:marTop w:val="0"/>
          <w:marBottom w:val="0"/>
          <w:divBdr>
            <w:top w:val="none" w:sz="0" w:space="0" w:color="auto"/>
            <w:left w:val="none" w:sz="0" w:space="0" w:color="auto"/>
            <w:bottom w:val="none" w:sz="0" w:space="0" w:color="auto"/>
            <w:right w:val="none" w:sz="0" w:space="0" w:color="auto"/>
          </w:divBdr>
        </w:div>
        <w:div w:id="555625322">
          <w:marLeft w:val="706"/>
          <w:marRight w:val="0"/>
          <w:marTop w:val="0"/>
          <w:marBottom w:val="0"/>
          <w:divBdr>
            <w:top w:val="none" w:sz="0" w:space="0" w:color="auto"/>
            <w:left w:val="none" w:sz="0" w:space="0" w:color="auto"/>
            <w:bottom w:val="none" w:sz="0" w:space="0" w:color="auto"/>
            <w:right w:val="none" w:sz="0" w:space="0" w:color="auto"/>
          </w:divBdr>
        </w:div>
      </w:divsChild>
    </w:div>
    <w:div w:id="701780980">
      <w:bodyDiv w:val="1"/>
      <w:marLeft w:val="0"/>
      <w:marRight w:val="0"/>
      <w:marTop w:val="0"/>
      <w:marBottom w:val="0"/>
      <w:divBdr>
        <w:top w:val="none" w:sz="0" w:space="0" w:color="auto"/>
        <w:left w:val="none" w:sz="0" w:space="0" w:color="auto"/>
        <w:bottom w:val="none" w:sz="0" w:space="0" w:color="auto"/>
        <w:right w:val="none" w:sz="0" w:space="0" w:color="auto"/>
      </w:divBdr>
    </w:div>
    <w:div w:id="704212728">
      <w:bodyDiv w:val="1"/>
      <w:marLeft w:val="0"/>
      <w:marRight w:val="0"/>
      <w:marTop w:val="0"/>
      <w:marBottom w:val="0"/>
      <w:divBdr>
        <w:top w:val="none" w:sz="0" w:space="0" w:color="auto"/>
        <w:left w:val="none" w:sz="0" w:space="0" w:color="auto"/>
        <w:bottom w:val="none" w:sz="0" w:space="0" w:color="auto"/>
        <w:right w:val="none" w:sz="0" w:space="0" w:color="auto"/>
      </w:divBdr>
      <w:divsChild>
        <w:div w:id="1518226006">
          <w:marLeft w:val="274"/>
          <w:marRight w:val="0"/>
          <w:marTop w:val="0"/>
          <w:marBottom w:val="0"/>
          <w:divBdr>
            <w:top w:val="none" w:sz="0" w:space="0" w:color="auto"/>
            <w:left w:val="none" w:sz="0" w:space="0" w:color="auto"/>
            <w:bottom w:val="none" w:sz="0" w:space="0" w:color="auto"/>
            <w:right w:val="none" w:sz="0" w:space="0" w:color="auto"/>
          </w:divBdr>
        </w:div>
        <w:div w:id="275214758">
          <w:marLeft w:val="274"/>
          <w:marRight w:val="0"/>
          <w:marTop w:val="0"/>
          <w:marBottom w:val="0"/>
          <w:divBdr>
            <w:top w:val="none" w:sz="0" w:space="0" w:color="auto"/>
            <w:left w:val="none" w:sz="0" w:space="0" w:color="auto"/>
            <w:bottom w:val="none" w:sz="0" w:space="0" w:color="auto"/>
            <w:right w:val="none" w:sz="0" w:space="0" w:color="auto"/>
          </w:divBdr>
        </w:div>
      </w:divsChild>
    </w:div>
    <w:div w:id="707609575">
      <w:bodyDiv w:val="1"/>
      <w:marLeft w:val="0"/>
      <w:marRight w:val="0"/>
      <w:marTop w:val="0"/>
      <w:marBottom w:val="0"/>
      <w:divBdr>
        <w:top w:val="none" w:sz="0" w:space="0" w:color="auto"/>
        <w:left w:val="none" w:sz="0" w:space="0" w:color="auto"/>
        <w:bottom w:val="none" w:sz="0" w:space="0" w:color="auto"/>
        <w:right w:val="none" w:sz="0" w:space="0" w:color="auto"/>
      </w:divBdr>
    </w:div>
    <w:div w:id="736591136">
      <w:bodyDiv w:val="1"/>
      <w:marLeft w:val="0"/>
      <w:marRight w:val="0"/>
      <w:marTop w:val="0"/>
      <w:marBottom w:val="0"/>
      <w:divBdr>
        <w:top w:val="none" w:sz="0" w:space="0" w:color="auto"/>
        <w:left w:val="none" w:sz="0" w:space="0" w:color="auto"/>
        <w:bottom w:val="none" w:sz="0" w:space="0" w:color="auto"/>
        <w:right w:val="none" w:sz="0" w:space="0" w:color="auto"/>
      </w:divBdr>
    </w:div>
    <w:div w:id="753554422">
      <w:bodyDiv w:val="1"/>
      <w:marLeft w:val="0"/>
      <w:marRight w:val="0"/>
      <w:marTop w:val="0"/>
      <w:marBottom w:val="0"/>
      <w:divBdr>
        <w:top w:val="none" w:sz="0" w:space="0" w:color="auto"/>
        <w:left w:val="none" w:sz="0" w:space="0" w:color="auto"/>
        <w:bottom w:val="none" w:sz="0" w:space="0" w:color="auto"/>
        <w:right w:val="none" w:sz="0" w:space="0" w:color="auto"/>
      </w:divBdr>
      <w:divsChild>
        <w:div w:id="1107312402">
          <w:marLeft w:val="547"/>
          <w:marRight w:val="0"/>
          <w:marTop w:val="0"/>
          <w:marBottom w:val="0"/>
          <w:divBdr>
            <w:top w:val="none" w:sz="0" w:space="0" w:color="auto"/>
            <w:left w:val="none" w:sz="0" w:space="0" w:color="auto"/>
            <w:bottom w:val="none" w:sz="0" w:space="0" w:color="auto"/>
            <w:right w:val="none" w:sz="0" w:space="0" w:color="auto"/>
          </w:divBdr>
        </w:div>
        <w:div w:id="1938058757">
          <w:marLeft w:val="547"/>
          <w:marRight w:val="0"/>
          <w:marTop w:val="0"/>
          <w:marBottom w:val="0"/>
          <w:divBdr>
            <w:top w:val="none" w:sz="0" w:space="0" w:color="auto"/>
            <w:left w:val="none" w:sz="0" w:space="0" w:color="auto"/>
            <w:bottom w:val="none" w:sz="0" w:space="0" w:color="auto"/>
            <w:right w:val="none" w:sz="0" w:space="0" w:color="auto"/>
          </w:divBdr>
        </w:div>
        <w:div w:id="65299083">
          <w:marLeft w:val="547"/>
          <w:marRight w:val="0"/>
          <w:marTop w:val="0"/>
          <w:marBottom w:val="0"/>
          <w:divBdr>
            <w:top w:val="none" w:sz="0" w:space="0" w:color="auto"/>
            <w:left w:val="none" w:sz="0" w:space="0" w:color="auto"/>
            <w:bottom w:val="none" w:sz="0" w:space="0" w:color="auto"/>
            <w:right w:val="none" w:sz="0" w:space="0" w:color="auto"/>
          </w:divBdr>
        </w:div>
        <w:div w:id="1812598525">
          <w:marLeft w:val="547"/>
          <w:marRight w:val="0"/>
          <w:marTop w:val="0"/>
          <w:marBottom w:val="0"/>
          <w:divBdr>
            <w:top w:val="none" w:sz="0" w:space="0" w:color="auto"/>
            <w:left w:val="none" w:sz="0" w:space="0" w:color="auto"/>
            <w:bottom w:val="none" w:sz="0" w:space="0" w:color="auto"/>
            <w:right w:val="none" w:sz="0" w:space="0" w:color="auto"/>
          </w:divBdr>
        </w:div>
        <w:div w:id="222761132">
          <w:marLeft w:val="547"/>
          <w:marRight w:val="0"/>
          <w:marTop w:val="0"/>
          <w:marBottom w:val="0"/>
          <w:divBdr>
            <w:top w:val="none" w:sz="0" w:space="0" w:color="auto"/>
            <w:left w:val="none" w:sz="0" w:space="0" w:color="auto"/>
            <w:bottom w:val="none" w:sz="0" w:space="0" w:color="auto"/>
            <w:right w:val="none" w:sz="0" w:space="0" w:color="auto"/>
          </w:divBdr>
        </w:div>
      </w:divsChild>
    </w:div>
    <w:div w:id="835805172">
      <w:bodyDiv w:val="1"/>
      <w:marLeft w:val="0"/>
      <w:marRight w:val="0"/>
      <w:marTop w:val="0"/>
      <w:marBottom w:val="0"/>
      <w:divBdr>
        <w:top w:val="none" w:sz="0" w:space="0" w:color="auto"/>
        <w:left w:val="none" w:sz="0" w:space="0" w:color="auto"/>
        <w:bottom w:val="none" w:sz="0" w:space="0" w:color="auto"/>
        <w:right w:val="none" w:sz="0" w:space="0" w:color="auto"/>
      </w:divBdr>
    </w:div>
    <w:div w:id="906572144">
      <w:bodyDiv w:val="1"/>
      <w:marLeft w:val="0"/>
      <w:marRight w:val="0"/>
      <w:marTop w:val="0"/>
      <w:marBottom w:val="0"/>
      <w:divBdr>
        <w:top w:val="none" w:sz="0" w:space="0" w:color="auto"/>
        <w:left w:val="none" w:sz="0" w:space="0" w:color="auto"/>
        <w:bottom w:val="none" w:sz="0" w:space="0" w:color="auto"/>
        <w:right w:val="none" w:sz="0" w:space="0" w:color="auto"/>
      </w:divBdr>
      <w:divsChild>
        <w:div w:id="637952171">
          <w:marLeft w:val="706"/>
          <w:marRight w:val="0"/>
          <w:marTop w:val="120"/>
          <w:marBottom w:val="120"/>
          <w:divBdr>
            <w:top w:val="none" w:sz="0" w:space="0" w:color="auto"/>
            <w:left w:val="none" w:sz="0" w:space="0" w:color="auto"/>
            <w:bottom w:val="none" w:sz="0" w:space="0" w:color="auto"/>
            <w:right w:val="none" w:sz="0" w:space="0" w:color="auto"/>
          </w:divBdr>
        </w:div>
      </w:divsChild>
    </w:div>
    <w:div w:id="925964387">
      <w:bodyDiv w:val="1"/>
      <w:marLeft w:val="0"/>
      <w:marRight w:val="0"/>
      <w:marTop w:val="0"/>
      <w:marBottom w:val="0"/>
      <w:divBdr>
        <w:top w:val="none" w:sz="0" w:space="0" w:color="auto"/>
        <w:left w:val="none" w:sz="0" w:space="0" w:color="auto"/>
        <w:bottom w:val="none" w:sz="0" w:space="0" w:color="auto"/>
        <w:right w:val="none" w:sz="0" w:space="0" w:color="auto"/>
      </w:divBdr>
    </w:div>
    <w:div w:id="981272365">
      <w:bodyDiv w:val="1"/>
      <w:marLeft w:val="0"/>
      <w:marRight w:val="0"/>
      <w:marTop w:val="0"/>
      <w:marBottom w:val="0"/>
      <w:divBdr>
        <w:top w:val="none" w:sz="0" w:space="0" w:color="auto"/>
        <w:left w:val="none" w:sz="0" w:space="0" w:color="auto"/>
        <w:bottom w:val="none" w:sz="0" w:space="0" w:color="auto"/>
        <w:right w:val="none" w:sz="0" w:space="0" w:color="auto"/>
      </w:divBdr>
      <w:divsChild>
        <w:div w:id="341712275">
          <w:marLeft w:val="706"/>
          <w:marRight w:val="0"/>
          <w:marTop w:val="0"/>
          <w:marBottom w:val="0"/>
          <w:divBdr>
            <w:top w:val="none" w:sz="0" w:space="0" w:color="auto"/>
            <w:left w:val="none" w:sz="0" w:space="0" w:color="auto"/>
            <w:bottom w:val="none" w:sz="0" w:space="0" w:color="auto"/>
            <w:right w:val="none" w:sz="0" w:space="0" w:color="auto"/>
          </w:divBdr>
        </w:div>
        <w:div w:id="791441989">
          <w:marLeft w:val="706"/>
          <w:marRight w:val="0"/>
          <w:marTop w:val="0"/>
          <w:marBottom w:val="0"/>
          <w:divBdr>
            <w:top w:val="none" w:sz="0" w:space="0" w:color="auto"/>
            <w:left w:val="none" w:sz="0" w:space="0" w:color="auto"/>
            <w:bottom w:val="none" w:sz="0" w:space="0" w:color="auto"/>
            <w:right w:val="none" w:sz="0" w:space="0" w:color="auto"/>
          </w:divBdr>
        </w:div>
        <w:div w:id="1936011044">
          <w:marLeft w:val="706"/>
          <w:marRight w:val="0"/>
          <w:marTop w:val="0"/>
          <w:marBottom w:val="0"/>
          <w:divBdr>
            <w:top w:val="none" w:sz="0" w:space="0" w:color="auto"/>
            <w:left w:val="none" w:sz="0" w:space="0" w:color="auto"/>
            <w:bottom w:val="none" w:sz="0" w:space="0" w:color="auto"/>
            <w:right w:val="none" w:sz="0" w:space="0" w:color="auto"/>
          </w:divBdr>
        </w:div>
        <w:div w:id="1377660561">
          <w:marLeft w:val="706"/>
          <w:marRight w:val="0"/>
          <w:marTop w:val="0"/>
          <w:marBottom w:val="0"/>
          <w:divBdr>
            <w:top w:val="none" w:sz="0" w:space="0" w:color="auto"/>
            <w:left w:val="none" w:sz="0" w:space="0" w:color="auto"/>
            <w:bottom w:val="none" w:sz="0" w:space="0" w:color="auto"/>
            <w:right w:val="none" w:sz="0" w:space="0" w:color="auto"/>
          </w:divBdr>
        </w:div>
      </w:divsChild>
    </w:div>
    <w:div w:id="987127913">
      <w:bodyDiv w:val="1"/>
      <w:marLeft w:val="0"/>
      <w:marRight w:val="0"/>
      <w:marTop w:val="0"/>
      <w:marBottom w:val="0"/>
      <w:divBdr>
        <w:top w:val="none" w:sz="0" w:space="0" w:color="auto"/>
        <w:left w:val="none" w:sz="0" w:space="0" w:color="auto"/>
        <w:bottom w:val="none" w:sz="0" w:space="0" w:color="auto"/>
        <w:right w:val="none" w:sz="0" w:space="0" w:color="auto"/>
      </w:divBdr>
    </w:div>
    <w:div w:id="988287699">
      <w:bodyDiv w:val="1"/>
      <w:marLeft w:val="0"/>
      <w:marRight w:val="0"/>
      <w:marTop w:val="0"/>
      <w:marBottom w:val="0"/>
      <w:divBdr>
        <w:top w:val="none" w:sz="0" w:space="0" w:color="auto"/>
        <w:left w:val="none" w:sz="0" w:space="0" w:color="auto"/>
        <w:bottom w:val="none" w:sz="0" w:space="0" w:color="auto"/>
        <w:right w:val="none" w:sz="0" w:space="0" w:color="auto"/>
      </w:divBdr>
      <w:divsChild>
        <w:div w:id="1066994677">
          <w:marLeft w:val="936"/>
          <w:marRight w:val="0"/>
          <w:marTop w:val="0"/>
          <w:marBottom w:val="0"/>
          <w:divBdr>
            <w:top w:val="none" w:sz="0" w:space="0" w:color="auto"/>
            <w:left w:val="none" w:sz="0" w:space="0" w:color="auto"/>
            <w:bottom w:val="none" w:sz="0" w:space="0" w:color="auto"/>
            <w:right w:val="none" w:sz="0" w:space="0" w:color="auto"/>
          </w:divBdr>
        </w:div>
      </w:divsChild>
    </w:div>
    <w:div w:id="992371970">
      <w:bodyDiv w:val="1"/>
      <w:marLeft w:val="0"/>
      <w:marRight w:val="0"/>
      <w:marTop w:val="0"/>
      <w:marBottom w:val="0"/>
      <w:divBdr>
        <w:top w:val="none" w:sz="0" w:space="0" w:color="auto"/>
        <w:left w:val="none" w:sz="0" w:space="0" w:color="auto"/>
        <w:bottom w:val="none" w:sz="0" w:space="0" w:color="auto"/>
        <w:right w:val="none" w:sz="0" w:space="0" w:color="auto"/>
      </w:divBdr>
    </w:div>
    <w:div w:id="1046417308">
      <w:bodyDiv w:val="1"/>
      <w:marLeft w:val="0"/>
      <w:marRight w:val="0"/>
      <w:marTop w:val="0"/>
      <w:marBottom w:val="0"/>
      <w:divBdr>
        <w:top w:val="none" w:sz="0" w:space="0" w:color="auto"/>
        <w:left w:val="none" w:sz="0" w:space="0" w:color="auto"/>
        <w:bottom w:val="none" w:sz="0" w:space="0" w:color="auto"/>
        <w:right w:val="none" w:sz="0" w:space="0" w:color="auto"/>
      </w:divBdr>
    </w:div>
    <w:div w:id="1107385875">
      <w:bodyDiv w:val="1"/>
      <w:marLeft w:val="0"/>
      <w:marRight w:val="0"/>
      <w:marTop w:val="0"/>
      <w:marBottom w:val="0"/>
      <w:divBdr>
        <w:top w:val="none" w:sz="0" w:space="0" w:color="auto"/>
        <w:left w:val="none" w:sz="0" w:space="0" w:color="auto"/>
        <w:bottom w:val="none" w:sz="0" w:space="0" w:color="auto"/>
        <w:right w:val="none" w:sz="0" w:space="0" w:color="auto"/>
      </w:divBdr>
    </w:div>
    <w:div w:id="1141073451">
      <w:bodyDiv w:val="1"/>
      <w:marLeft w:val="0"/>
      <w:marRight w:val="0"/>
      <w:marTop w:val="0"/>
      <w:marBottom w:val="0"/>
      <w:divBdr>
        <w:top w:val="none" w:sz="0" w:space="0" w:color="auto"/>
        <w:left w:val="none" w:sz="0" w:space="0" w:color="auto"/>
        <w:bottom w:val="none" w:sz="0" w:space="0" w:color="auto"/>
        <w:right w:val="none" w:sz="0" w:space="0" w:color="auto"/>
      </w:divBdr>
    </w:div>
    <w:div w:id="1228345969">
      <w:bodyDiv w:val="1"/>
      <w:marLeft w:val="0"/>
      <w:marRight w:val="0"/>
      <w:marTop w:val="0"/>
      <w:marBottom w:val="0"/>
      <w:divBdr>
        <w:top w:val="none" w:sz="0" w:space="0" w:color="auto"/>
        <w:left w:val="none" w:sz="0" w:space="0" w:color="auto"/>
        <w:bottom w:val="none" w:sz="0" w:space="0" w:color="auto"/>
        <w:right w:val="none" w:sz="0" w:space="0" w:color="auto"/>
      </w:divBdr>
    </w:div>
    <w:div w:id="1332219775">
      <w:bodyDiv w:val="1"/>
      <w:marLeft w:val="0"/>
      <w:marRight w:val="0"/>
      <w:marTop w:val="0"/>
      <w:marBottom w:val="0"/>
      <w:divBdr>
        <w:top w:val="none" w:sz="0" w:space="0" w:color="auto"/>
        <w:left w:val="none" w:sz="0" w:space="0" w:color="auto"/>
        <w:bottom w:val="none" w:sz="0" w:space="0" w:color="auto"/>
        <w:right w:val="none" w:sz="0" w:space="0" w:color="auto"/>
      </w:divBdr>
    </w:div>
    <w:div w:id="1385328996">
      <w:bodyDiv w:val="1"/>
      <w:marLeft w:val="0"/>
      <w:marRight w:val="0"/>
      <w:marTop w:val="0"/>
      <w:marBottom w:val="0"/>
      <w:divBdr>
        <w:top w:val="none" w:sz="0" w:space="0" w:color="auto"/>
        <w:left w:val="none" w:sz="0" w:space="0" w:color="auto"/>
        <w:bottom w:val="none" w:sz="0" w:space="0" w:color="auto"/>
        <w:right w:val="none" w:sz="0" w:space="0" w:color="auto"/>
      </w:divBdr>
    </w:div>
    <w:div w:id="1396245178">
      <w:bodyDiv w:val="1"/>
      <w:marLeft w:val="0"/>
      <w:marRight w:val="0"/>
      <w:marTop w:val="0"/>
      <w:marBottom w:val="0"/>
      <w:divBdr>
        <w:top w:val="none" w:sz="0" w:space="0" w:color="auto"/>
        <w:left w:val="none" w:sz="0" w:space="0" w:color="auto"/>
        <w:bottom w:val="none" w:sz="0" w:space="0" w:color="auto"/>
        <w:right w:val="none" w:sz="0" w:space="0" w:color="auto"/>
      </w:divBdr>
    </w:div>
    <w:div w:id="1440024530">
      <w:bodyDiv w:val="1"/>
      <w:marLeft w:val="0"/>
      <w:marRight w:val="0"/>
      <w:marTop w:val="0"/>
      <w:marBottom w:val="0"/>
      <w:divBdr>
        <w:top w:val="none" w:sz="0" w:space="0" w:color="auto"/>
        <w:left w:val="none" w:sz="0" w:space="0" w:color="auto"/>
        <w:bottom w:val="none" w:sz="0" w:space="0" w:color="auto"/>
        <w:right w:val="none" w:sz="0" w:space="0" w:color="auto"/>
      </w:divBdr>
      <w:divsChild>
        <w:div w:id="2035884816">
          <w:marLeft w:val="274"/>
          <w:marRight w:val="0"/>
          <w:marTop w:val="0"/>
          <w:marBottom w:val="0"/>
          <w:divBdr>
            <w:top w:val="none" w:sz="0" w:space="0" w:color="auto"/>
            <w:left w:val="none" w:sz="0" w:space="0" w:color="auto"/>
            <w:bottom w:val="none" w:sz="0" w:space="0" w:color="auto"/>
            <w:right w:val="none" w:sz="0" w:space="0" w:color="auto"/>
          </w:divBdr>
        </w:div>
        <w:div w:id="498929807">
          <w:marLeft w:val="274"/>
          <w:marRight w:val="0"/>
          <w:marTop w:val="0"/>
          <w:marBottom w:val="0"/>
          <w:divBdr>
            <w:top w:val="none" w:sz="0" w:space="0" w:color="auto"/>
            <w:left w:val="none" w:sz="0" w:space="0" w:color="auto"/>
            <w:bottom w:val="none" w:sz="0" w:space="0" w:color="auto"/>
            <w:right w:val="none" w:sz="0" w:space="0" w:color="auto"/>
          </w:divBdr>
        </w:div>
      </w:divsChild>
    </w:div>
    <w:div w:id="1442801485">
      <w:bodyDiv w:val="1"/>
      <w:marLeft w:val="0"/>
      <w:marRight w:val="0"/>
      <w:marTop w:val="0"/>
      <w:marBottom w:val="0"/>
      <w:divBdr>
        <w:top w:val="none" w:sz="0" w:space="0" w:color="auto"/>
        <w:left w:val="none" w:sz="0" w:space="0" w:color="auto"/>
        <w:bottom w:val="none" w:sz="0" w:space="0" w:color="auto"/>
        <w:right w:val="none" w:sz="0" w:space="0" w:color="auto"/>
      </w:divBdr>
    </w:div>
    <w:div w:id="1458372771">
      <w:bodyDiv w:val="1"/>
      <w:marLeft w:val="0"/>
      <w:marRight w:val="0"/>
      <w:marTop w:val="0"/>
      <w:marBottom w:val="0"/>
      <w:divBdr>
        <w:top w:val="none" w:sz="0" w:space="0" w:color="auto"/>
        <w:left w:val="none" w:sz="0" w:space="0" w:color="auto"/>
        <w:bottom w:val="none" w:sz="0" w:space="0" w:color="auto"/>
        <w:right w:val="none" w:sz="0" w:space="0" w:color="auto"/>
      </w:divBdr>
      <w:divsChild>
        <w:div w:id="1978291489">
          <w:marLeft w:val="446"/>
          <w:marRight w:val="0"/>
          <w:marTop w:val="0"/>
          <w:marBottom w:val="160"/>
          <w:divBdr>
            <w:top w:val="none" w:sz="0" w:space="0" w:color="auto"/>
            <w:left w:val="none" w:sz="0" w:space="0" w:color="auto"/>
            <w:bottom w:val="none" w:sz="0" w:space="0" w:color="auto"/>
            <w:right w:val="none" w:sz="0" w:space="0" w:color="auto"/>
          </w:divBdr>
        </w:div>
        <w:div w:id="336228519">
          <w:marLeft w:val="446"/>
          <w:marRight w:val="0"/>
          <w:marTop w:val="0"/>
          <w:marBottom w:val="160"/>
          <w:divBdr>
            <w:top w:val="none" w:sz="0" w:space="0" w:color="auto"/>
            <w:left w:val="none" w:sz="0" w:space="0" w:color="auto"/>
            <w:bottom w:val="none" w:sz="0" w:space="0" w:color="auto"/>
            <w:right w:val="none" w:sz="0" w:space="0" w:color="auto"/>
          </w:divBdr>
        </w:div>
      </w:divsChild>
    </w:div>
    <w:div w:id="1493763710">
      <w:bodyDiv w:val="1"/>
      <w:marLeft w:val="0"/>
      <w:marRight w:val="0"/>
      <w:marTop w:val="0"/>
      <w:marBottom w:val="0"/>
      <w:divBdr>
        <w:top w:val="none" w:sz="0" w:space="0" w:color="auto"/>
        <w:left w:val="none" w:sz="0" w:space="0" w:color="auto"/>
        <w:bottom w:val="none" w:sz="0" w:space="0" w:color="auto"/>
        <w:right w:val="none" w:sz="0" w:space="0" w:color="auto"/>
      </w:divBdr>
    </w:div>
    <w:div w:id="1593928659">
      <w:bodyDiv w:val="1"/>
      <w:marLeft w:val="0"/>
      <w:marRight w:val="0"/>
      <w:marTop w:val="0"/>
      <w:marBottom w:val="0"/>
      <w:divBdr>
        <w:top w:val="none" w:sz="0" w:space="0" w:color="auto"/>
        <w:left w:val="none" w:sz="0" w:space="0" w:color="auto"/>
        <w:bottom w:val="none" w:sz="0" w:space="0" w:color="auto"/>
        <w:right w:val="none" w:sz="0" w:space="0" w:color="auto"/>
      </w:divBdr>
    </w:div>
    <w:div w:id="1601332983">
      <w:bodyDiv w:val="1"/>
      <w:marLeft w:val="0"/>
      <w:marRight w:val="0"/>
      <w:marTop w:val="0"/>
      <w:marBottom w:val="0"/>
      <w:divBdr>
        <w:top w:val="none" w:sz="0" w:space="0" w:color="auto"/>
        <w:left w:val="none" w:sz="0" w:space="0" w:color="auto"/>
        <w:bottom w:val="none" w:sz="0" w:space="0" w:color="auto"/>
        <w:right w:val="none" w:sz="0" w:space="0" w:color="auto"/>
      </w:divBdr>
    </w:div>
    <w:div w:id="1609506990">
      <w:bodyDiv w:val="1"/>
      <w:marLeft w:val="0"/>
      <w:marRight w:val="0"/>
      <w:marTop w:val="0"/>
      <w:marBottom w:val="0"/>
      <w:divBdr>
        <w:top w:val="none" w:sz="0" w:space="0" w:color="auto"/>
        <w:left w:val="none" w:sz="0" w:space="0" w:color="auto"/>
        <w:bottom w:val="none" w:sz="0" w:space="0" w:color="auto"/>
        <w:right w:val="none" w:sz="0" w:space="0" w:color="auto"/>
      </w:divBdr>
    </w:div>
    <w:div w:id="1686900678">
      <w:bodyDiv w:val="1"/>
      <w:marLeft w:val="0"/>
      <w:marRight w:val="0"/>
      <w:marTop w:val="0"/>
      <w:marBottom w:val="0"/>
      <w:divBdr>
        <w:top w:val="none" w:sz="0" w:space="0" w:color="auto"/>
        <w:left w:val="none" w:sz="0" w:space="0" w:color="auto"/>
        <w:bottom w:val="none" w:sz="0" w:space="0" w:color="auto"/>
        <w:right w:val="none" w:sz="0" w:space="0" w:color="auto"/>
      </w:divBdr>
      <w:divsChild>
        <w:div w:id="2127263699">
          <w:marLeft w:val="547"/>
          <w:marRight w:val="0"/>
          <w:marTop w:val="0"/>
          <w:marBottom w:val="0"/>
          <w:divBdr>
            <w:top w:val="none" w:sz="0" w:space="0" w:color="auto"/>
            <w:left w:val="none" w:sz="0" w:space="0" w:color="auto"/>
            <w:bottom w:val="none" w:sz="0" w:space="0" w:color="auto"/>
            <w:right w:val="none" w:sz="0" w:space="0" w:color="auto"/>
          </w:divBdr>
        </w:div>
        <w:div w:id="517013883">
          <w:marLeft w:val="547"/>
          <w:marRight w:val="0"/>
          <w:marTop w:val="0"/>
          <w:marBottom w:val="0"/>
          <w:divBdr>
            <w:top w:val="none" w:sz="0" w:space="0" w:color="auto"/>
            <w:left w:val="none" w:sz="0" w:space="0" w:color="auto"/>
            <w:bottom w:val="none" w:sz="0" w:space="0" w:color="auto"/>
            <w:right w:val="none" w:sz="0" w:space="0" w:color="auto"/>
          </w:divBdr>
        </w:div>
      </w:divsChild>
    </w:div>
    <w:div w:id="1740788762">
      <w:bodyDiv w:val="1"/>
      <w:marLeft w:val="0"/>
      <w:marRight w:val="0"/>
      <w:marTop w:val="0"/>
      <w:marBottom w:val="0"/>
      <w:divBdr>
        <w:top w:val="none" w:sz="0" w:space="0" w:color="auto"/>
        <w:left w:val="none" w:sz="0" w:space="0" w:color="auto"/>
        <w:bottom w:val="none" w:sz="0" w:space="0" w:color="auto"/>
        <w:right w:val="none" w:sz="0" w:space="0" w:color="auto"/>
      </w:divBdr>
    </w:div>
    <w:div w:id="1782338913">
      <w:bodyDiv w:val="1"/>
      <w:marLeft w:val="0"/>
      <w:marRight w:val="0"/>
      <w:marTop w:val="0"/>
      <w:marBottom w:val="0"/>
      <w:divBdr>
        <w:top w:val="none" w:sz="0" w:space="0" w:color="auto"/>
        <w:left w:val="none" w:sz="0" w:space="0" w:color="auto"/>
        <w:bottom w:val="none" w:sz="0" w:space="0" w:color="auto"/>
        <w:right w:val="none" w:sz="0" w:space="0" w:color="auto"/>
      </w:divBdr>
    </w:div>
    <w:div w:id="1814904180">
      <w:bodyDiv w:val="1"/>
      <w:marLeft w:val="0"/>
      <w:marRight w:val="0"/>
      <w:marTop w:val="0"/>
      <w:marBottom w:val="0"/>
      <w:divBdr>
        <w:top w:val="none" w:sz="0" w:space="0" w:color="auto"/>
        <w:left w:val="none" w:sz="0" w:space="0" w:color="auto"/>
        <w:bottom w:val="none" w:sz="0" w:space="0" w:color="auto"/>
        <w:right w:val="none" w:sz="0" w:space="0" w:color="auto"/>
      </w:divBdr>
    </w:div>
    <w:div w:id="1819228277">
      <w:bodyDiv w:val="1"/>
      <w:marLeft w:val="0"/>
      <w:marRight w:val="0"/>
      <w:marTop w:val="0"/>
      <w:marBottom w:val="0"/>
      <w:divBdr>
        <w:top w:val="none" w:sz="0" w:space="0" w:color="auto"/>
        <w:left w:val="none" w:sz="0" w:space="0" w:color="auto"/>
        <w:bottom w:val="none" w:sz="0" w:space="0" w:color="auto"/>
        <w:right w:val="none" w:sz="0" w:space="0" w:color="auto"/>
      </w:divBdr>
    </w:div>
    <w:div w:id="1898084925">
      <w:bodyDiv w:val="1"/>
      <w:marLeft w:val="0"/>
      <w:marRight w:val="0"/>
      <w:marTop w:val="0"/>
      <w:marBottom w:val="0"/>
      <w:divBdr>
        <w:top w:val="none" w:sz="0" w:space="0" w:color="auto"/>
        <w:left w:val="none" w:sz="0" w:space="0" w:color="auto"/>
        <w:bottom w:val="none" w:sz="0" w:space="0" w:color="auto"/>
        <w:right w:val="none" w:sz="0" w:space="0" w:color="auto"/>
      </w:divBdr>
    </w:div>
    <w:div w:id="1904754013">
      <w:bodyDiv w:val="1"/>
      <w:marLeft w:val="0"/>
      <w:marRight w:val="0"/>
      <w:marTop w:val="0"/>
      <w:marBottom w:val="0"/>
      <w:divBdr>
        <w:top w:val="none" w:sz="0" w:space="0" w:color="auto"/>
        <w:left w:val="none" w:sz="0" w:space="0" w:color="auto"/>
        <w:bottom w:val="none" w:sz="0" w:space="0" w:color="auto"/>
        <w:right w:val="none" w:sz="0" w:space="0" w:color="auto"/>
      </w:divBdr>
    </w:div>
    <w:div w:id="1918586707">
      <w:bodyDiv w:val="1"/>
      <w:marLeft w:val="0"/>
      <w:marRight w:val="0"/>
      <w:marTop w:val="0"/>
      <w:marBottom w:val="0"/>
      <w:divBdr>
        <w:top w:val="none" w:sz="0" w:space="0" w:color="auto"/>
        <w:left w:val="none" w:sz="0" w:space="0" w:color="auto"/>
        <w:bottom w:val="none" w:sz="0" w:space="0" w:color="auto"/>
        <w:right w:val="none" w:sz="0" w:space="0" w:color="auto"/>
      </w:divBdr>
      <w:divsChild>
        <w:div w:id="1026447418">
          <w:marLeft w:val="274"/>
          <w:marRight w:val="0"/>
          <w:marTop w:val="0"/>
          <w:marBottom w:val="0"/>
          <w:divBdr>
            <w:top w:val="none" w:sz="0" w:space="0" w:color="auto"/>
            <w:left w:val="none" w:sz="0" w:space="0" w:color="auto"/>
            <w:bottom w:val="none" w:sz="0" w:space="0" w:color="auto"/>
            <w:right w:val="none" w:sz="0" w:space="0" w:color="auto"/>
          </w:divBdr>
        </w:div>
        <w:div w:id="278295883">
          <w:marLeft w:val="274"/>
          <w:marRight w:val="0"/>
          <w:marTop w:val="0"/>
          <w:marBottom w:val="0"/>
          <w:divBdr>
            <w:top w:val="none" w:sz="0" w:space="0" w:color="auto"/>
            <w:left w:val="none" w:sz="0" w:space="0" w:color="auto"/>
            <w:bottom w:val="none" w:sz="0" w:space="0" w:color="auto"/>
            <w:right w:val="none" w:sz="0" w:space="0" w:color="auto"/>
          </w:divBdr>
        </w:div>
      </w:divsChild>
    </w:div>
    <w:div w:id="1919368417">
      <w:bodyDiv w:val="1"/>
      <w:marLeft w:val="0"/>
      <w:marRight w:val="0"/>
      <w:marTop w:val="0"/>
      <w:marBottom w:val="0"/>
      <w:divBdr>
        <w:top w:val="none" w:sz="0" w:space="0" w:color="auto"/>
        <w:left w:val="none" w:sz="0" w:space="0" w:color="auto"/>
        <w:bottom w:val="none" w:sz="0" w:space="0" w:color="auto"/>
        <w:right w:val="none" w:sz="0" w:space="0" w:color="auto"/>
      </w:divBdr>
    </w:div>
    <w:div w:id="2005232046">
      <w:bodyDiv w:val="1"/>
      <w:marLeft w:val="0"/>
      <w:marRight w:val="0"/>
      <w:marTop w:val="0"/>
      <w:marBottom w:val="0"/>
      <w:divBdr>
        <w:top w:val="none" w:sz="0" w:space="0" w:color="auto"/>
        <w:left w:val="none" w:sz="0" w:space="0" w:color="auto"/>
        <w:bottom w:val="none" w:sz="0" w:space="0" w:color="auto"/>
        <w:right w:val="none" w:sz="0" w:space="0" w:color="auto"/>
      </w:divBdr>
      <w:divsChild>
        <w:div w:id="674453721">
          <w:marLeft w:val="274"/>
          <w:marRight w:val="0"/>
          <w:marTop w:val="0"/>
          <w:marBottom w:val="0"/>
          <w:divBdr>
            <w:top w:val="none" w:sz="0" w:space="0" w:color="auto"/>
            <w:left w:val="none" w:sz="0" w:space="0" w:color="auto"/>
            <w:bottom w:val="none" w:sz="0" w:space="0" w:color="auto"/>
            <w:right w:val="none" w:sz="0" w:space="0" w:color="auto"/>
          </w:divBdr>
        </w:div>
        <w:div w:id="698163936">
          <w:marLeft w:val="274"/>
          <w:marRight w:val="0"/>
          <w:marTop w:val="0"/>
          <w:marBottom w:val="0"/>
          <w:divBdr>
            <w:top w:val="none" w:sz="0" w:space="0" w:color="auto"/>
            <w:left w:val="none" w:sz="0" w:space="0" w:color="auto"/>
            <w:bottom w:val="none" w:sz="0" w:space="0" w:color="auto"/>
            <w:right w:val="none" w:sz="0" w:space="0" w:color="auto"/>
          </w:divBdr>
        </w:div>
      </w:divsChild>
    </w:div>
    <w:div w:id="2028216265">
      <w:bodyDiv w:val="1"/>
      <w:marLeft w:val="0"/>
      <w:marRight w:val="0"/>
      <w:marTop w:val="0"/>
      <w:marBottom w:val="0"/>
      <w:divBdr>
        <w:top w:val="none" w:sz="0" w:space="0" w:color="auto"/>
        <w:left w:val="none" w:sz="0" w:space="0" w:color="auto"/>
        <w:bottom w:val="none" w:sz="0" w:space="0" w:color="auto"/>
        <w:right w:val="none" w:sz="0" w:space="0" w:color="auto"/>
      </w:divBdr>
      <w:divsChild>
        <w:div w:id="1820537475">
          <w:marLeft w:val="706"/>
          <w:marRight w:val="0"/>
          <w:marTop w:val="0"/>
          <w:marBottom w:val="0"/>
          <w:divBdr>
            <w:top w:val="none" w:sz="0" w:space="0" w:color="auto"/>
            <w:left w:val="none" w:sz="0" w:space="0" w:color="auto"/>
            <w:bottom w:val="none" w:sz="0" w:space="0" w:color="auto"/>
            <w:right w:val="none" w:sz="0" w:space="0" w:color="auto"/>
          </w:divBdr>
        </w:div>
        <w:div w:id="451441122">
          <w:marLeft w:val="706"/>
          <w:marRight w:val="0"/>
          <w:marTop w:val="0"/>
          <w:marBottom w:val="0"/>
          <w:divBdr>
            <w:top w:val="none" w:sz="0" w:space="0" w:color="auto"/>
            <w:left w:val="none" w:sz="0" w:space="0" w:color="auto"/>
            <w:bottom w:val="none" w:sz="0" w:space="0" w:color="auto"/>
            <w:right w:val="none" w:sz="0" w:space="0" w:color="auto"/>
          </w:divBdr>
        </w:div>
        <w:div w:id="978340234">
          <w:marLeft w:val="706"/>
          <w:marRight w:val="0"/>
          <w:marTop w:val="0"/>
          <w:marBottom w:val="0"/>
          <w:divBdr>
            <w:top w:val="none" w:sz="0" w:space="0" w:color="auto"/>
            <w:left w:val="none" w:sz="0" w:space="0" w:color="auto"/>
            <w:bottom w:val="none" w:sz="0" w:space="0" w:color="auto"/>
            <w:right w:val="none" w:sz="0" w:space="0" w:color="auto"/>
          </w:divBdr>
        </w:div>
      </w:divsChild>
    </w:div>
    <w:div w:id="2103600349">
      <w:bodyDiv w:val="1"/>
      <w:marLeft w:val="0"/>
      <w:marRight w:val="0"/>
      <w:marTop w:val="0"/>
      <w:marBottom w:val="0"/>
      <w:divBdr>
        <w:top w:val="none" w:sz="0" w:space="0" w:color="auto"/>
        <w:left w:val="none" w:sz="0" w:space="0" w:color="auto"/>
        <w:bottom w:val="none" w:sz="0" w:space="0" w:color="auto"/>
        <w:right w:val="none" w:sz="0" w:space="0" w:color="auto"/>
      </w:divBdr>
    </w:div>
    <w:div w:id="2128501494">
      <w:bodyDiv w:val="1"/>
      <w:marLeft w:val="0"/>
      <w:marRight w:val="0"/>
      <w:marTop w:val="0"/>
      <w:marBottom w:val="0"/>
      <w:divBdr>
        <w:top w:val="none" w:sz="0" w:space="0" w:color="auto"/>
        <w:left w:val="none" w:sz="0" w:space="0" w:color="auto"/>
        <w:bottom w:val="none" w:sz="0" w:space="0" w:color="auto"/>
        <w:right w:val="none" w:sz="0" w:space="0" w:color="auto"/>
      </w:divBdr>
      <w:divsChild>
        <w:div w:id="541211116">
          <w:marLeft w:val="274"/>
          <w:marRight w:val="0"/>
          <w:marTop w:val="0"/>
          <w:marBottom w:val="0"/>
          <w:divBdr>
            <w:top w:val="none" w:sz="0" w:space="0" w:color="auto"/>
            <w:left w:val="none" w:sz="0" w:space="0" w:color="auto"/>
            <w:bottom w:val="none" w:sz="0" w:space="0" w:color="auto"/>
            <w:right w:val="none" w:sz="0" w:space="0" w:color="auto"/>
          </w:divBdr>
        </w:div>
        <w:div w:id="158473745">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egislation.gov.au/Details/C2018C00125" TargetMode="External"/><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about.unimelb.edu.au/diversity-inclusion/strategy-and-policy" TargetMode="Externa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egislation.gov.au/Details/F2005L00767"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un.org/development/desa/disabilities/convention-on-the-rights-of-persons-with-disabilities.htm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A675EB59B0346798B6FBEF29DF1BEF8"/>
        <w:category>
          <w:name w:val="General"/>
          <w:gallery w:val="placeholder"/>
        </w:category>
        <w:types>
          <w:type w:val="bbPlcHdr"/>
        </w:types>
        <w:behaviors>
          <w:behavior w:val="content"/>
        </w:behaviors>
        <w:guid w:val="{5CCF6283-34E2-4F3D-9743-82CB95C1E0E1}"/>
      </w:docPartPr>
      <w:docPartBody>
        <w:p w:rsidR="008376FD" w:rsidRDefault="008376FD" w:rsidP="008376FD">
          <w:pPr>
            <w:pStyle w:val="FA675EB59B0346798B6FBEF29DF1BEF8"/>
          </w:pPr>
          <w:r w:rsidRPr="0098505B">
            <w:rPr>
              <w:highlight w:val="lightGray"/>
            </w:rPr>
            <w:t>[Title]</w:t>
          </w:r>
        </w:p>
      </w:docPartBody>
    </w:docPart>
    <w:docPart>
      <w:docPartPr>
        <w:name w:val="1C1CB73F1784415EBFCC802444A9B4F5"/>
        <w:category>
          <w:name w:val="General"/>
          <w:gallery w:val="placeholder"/>
        </w:category>
        <w:types>
          <w:type w:val="bbPlcHdr"/>
        </w:types>
        <w:behaviors>
          <w:behavior w:val="content"/>
        </w:behaviors>
        <w:guid w:val="{6485E0B2-1913-4FF1-AC2D-AD5F4C0B5043}"/>
      </w:docPartPr>
      <w:docPartBody>
        <w:p w:rsidR="008376FD" w:rsidRDefault="008376FD" w:rsidP="008376FD">
          <w:pPr>
            <w:pStyle w:val="1C1CB73F1784415EBFCC802444A9B4F5"/>
          </w:pPr>
          <w:r w:rsidRPr="003D4112">
            <w:rPr>
              <w:b/>
              <w:bCs/>
              <w:color w:val="FFFFFF" w:themeColor="background1"/>
              <w:highlight w:val="lightGray"/>
            </w:rPr>
            <w:t>[Identifier-first line]</w:t>
          </w:r>
        </w:p>
      </w:docPartBody>
    </w:docPart>
    <w:docPart>
      <w:docPartPr>
        <w:name w:val="A45131FE613A48A392009E423B8BF788"/>
        <w:category>
          <w:name w:val="General"/>
          <w:gallery w:val="placeholder"/>
        </w:category>
        <w:types>
          <w:type w:val="bbPlcHdr"/>
        </w:types>
        <w:behaviors>
          <w:behavior w:val="content"/>
        </w:behaviors>
        <w:guid w:val="{09F76394-28E7-40B6-A168-C3E9D13BB6F0}"/>
      </w:docPartPr>
      <w:docPartBody>
        <w:p w:rsidR="008376FD" w:rsidRDefault="008376FD" w:rsidP="008376FD">
          <w:pPr>
            <w:pStyle w:val="A45131FE613A48A392009E423B8BF788"/>
          </w:pPr>
          <w:r w:rsidRPr="0098505B">
            <w:rPr>
              <w:highlight w:val="lightGray"/>
            </w:rPr>
            <w:t>[Title]</w:t>
          </w:r>
        </w:p>
      </w:docPartBody>
    </w:docPart>
    <w:docPart>
      <w:docPartPr>
        <w:name w:val="5D588CB01F9745B5A26CCFDCD0633352"/>
        <w:category>
          <w:name w:val="General"/>
          <w:gallery w:val="placeholder"/>
        </w:category>
        <w:types>
          <w:type w:val="bbPlcHdr"/>
        </w:types>
        <w:behaviors>
          <w:behavior w:val="content"/>
        </w:behaviors>
        <w:guid w:val="{B3566671-89E6-4D8E-922C-F50A33ED6E68}"/>
      </w:docPartPr>
      <w:docPartBody>
        <w:p w:rsidR="00162606" w:rsidRDefault="00C859B9" w:rsidP="00C859B9">
          <w:pPr>
            <w:pStyle w:val="5D588CB01F9745B5A26CCFDCD0633352"/>
          </w:pPr>
          <w:r w:rsidRPr="0098505B">
            <w:rPr>
              <w:highlight w:val="lightGray"/>
            </w:rPr>
            <w:t>[Title]</w:t>
          </w:r>
        </w:p>
      </w:docPartBody>
    </w:docPart>
    <w:docPart>
      <w:docPartPr>
        <w:name w:val="725D71B779824FE89E194695C3C22043"/>
        <w:category>
          <w:name w:val="General"/>
          <w:gallery w:val="placeholder"/>
        </w:category>
        <w:types>
          <w:type w:val="bbPlcHdr"/>
        </w:types>
        <w:behaviors>
          <w:behavior w:val="content"/>
        </w:behaviors>
        <w:guid w:val="{DBC11F3E-B6A5-4835-8563-6CC2D5B2B404}"/>
      </w:docPartPr>
      <w:docPartBody>
        <w:p w:rsidR="00162606" w:rsidRDefault="00C859B9" w:rsidP="00C859B9">
          <w:pPr>
            <w:pStyle w:val="725D71B779824FE89E194695C3C22043"/>
          </w:pPr>
          <w:r w:rsidRPr="0098505B">
            <w:rPr>
              <w:rStyle w:val="DateChar"/>
              <w:highlight w:val="lightGray"/>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6FD"/>
    <w:rsid w:val="0002731C"/>
    <w:rsid w:val="00041C11"/>
    <w:rsid w:val="0008365F"/>
    <w:rsid w:val="000B1C20"/>
    <w:rsid w:val="001133D5"/>
    <w:rsid w:val="00162606"/>
    <w:rsid w:val="00164B04"/>
    <w:rsid w:val="001C079F"/>
    <w:rsid w:val="001C1541"/>
    <w:rsid w:val="00222A2E"/>
    <w:rsid w:val="00234A19"/>
    <w:rsid w:val="002560CD"/>
    <w:rsid w:val="00256F5B"/>
    <w:rsid w:val="002E4523"/>
    <w:rsid w:val="002F31A9"/>
    <w:rsid w:val="002F696A"/>
    <w:rsid w:val="00325F73"/>
    <w:rsid w:val="00390A7A"/>
    <w:rsid w:val="00394682"/>
    <w:rsid w:val="003D67BF"/>
    <w:rsid w:val="003E0F63"/>
    <w:rsid w:val="003E44B9"/>
    <w:rsid w:val="004101FD"/>
    <w:rsid w:val="004523C0"/>
    <w:rsid w:val="0049333F"/>
    <w:rsid w:val="004D77D5"/>
    <w:rsid w:val="004E3322"/>
    <w:rsid w:val="005A5B15"/>
    <w:rsid w:val="005C765D"/>
    <w:rsid w:val="005D760F"/>
    <w:rsid w:val="005E6804"/>
    <w:rsid w:val="0064026C"/>
    <w:rsid w:val="00696069"/>
    <w:rsid w:val="006B4352"/>
    <w:rsid w:val="006C3A34"/>
    <w:rsid w:val="006D6054"/>
    <w:rsid w:val="00753EC0"/>
    <w:rsid w:val="007A4F65"/>
    <w:rsid w:val="007C6990"/>
    <w:rsid w:val="007E20CF"/>
    <w:rsid w:val="00835252"/>
    <w:rsid w:val="008376FD"/>
    <w:rsid w:val="00857A46"/>
    <w:rsid w:val="008A46F2"/>
    <w:rsid w:val="008B7ED5"/>
    <w:rsid w:val="00951E0A"/>
    <w:rsid w:val="009C0085"/>
    <w:rsid w:val="009E3878"/>
    <w:rsid w:val="00A14936"/>
    <w:rsid w:val="00B966A3"/>
    <w:rsid w:val="00BD0C23"/>
    <w:rsid w:val="00BD49E9"/>
    <w:rsid w:val="00C859B9"/>
    <w:rsid w:val="00C86F3C"/>
    <w:rsid w:val="00CC347F"/>
    <w:rsid w:val="00D136D3"/>
    <w:rsid w:val="00D30513"/>
    <w:rsid w:val="00D52346"/>
    <w:rsid w:val="00D60F23"/>
    <w:rsid w:val="00D646DF"/>
    <w:rsid w:val="00DA454C"/>
    <w:rsid w:val="00EA7170"/>
    <w:rsid w:val="00EC0B5C"/>
    <w:rsid w:val="00EC34FE"/>
    <w:rsid w:val="00ED6423"/>
    <w:rsid w:val="00EF04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675EB59B0346798B6FBEF29DF1BEF8">
    <w:name w:val="FA675EB59B0346798B6FBEF29DF1BEF8"/>
    <w:rsid w:val="008376FD"/>
  </w:style>
  <w:style w:type="paragraph" w:styleId="Date">
    <w:name w:val="Date"/>
    <w:basedOn w:val="Normal"/>
    <w:next w:val="Normal"/>
    <w:link w:val="DateChar"/>
    <w:uiPriority w:val="99"/>
    <w:unhideWhenUsed/>
    <w:rsid w:val="00C859B9"/>
    <w:pPr>
      <w:framePr w:w="6804" w:hSpace="2835" w:wrap="around" w:vAnchor="page" w:hAnchor="margin" w:y="5104" w:anchorLock="1"/>
      <w:spacing w:after="120" w:line="264" w:lineRule="auto"/>
    </w:pPr>
    <w:rPr>
      <w:sz w:val="20"/>
      <w:lang w:val="en-AU"/>
    </w:rPr>
  </w:style>
  <w:style w:type="character" w:customStyle="1" w:styleId="DateChar">
    <w:name w:val="Date Char"/>
    <w:basedOn w:val="DefaultParagraphFont"/>
    <w:link w:val="Date"/>
    <w:uiPriority w:val="99"/>
    <w:rsid w:val="00C859B9"/>
    <w:rPr>
      <w:sz w:val="20"/>
      <w:lang w:val="en-AU"/>
    </w:rPr>
  </w:style>
  <w:style w:type="paragraph" w:customStyle="1" w:styleId="1C1CB73F1784415EBFCC802444A9B4F5">
    <w:name w:val="1C1CB73F1784415EBFCC802444A9B4F5"/>
    <w:rsid w:val="008376FD"/>
  </w:style>
  <w:style w:type="paragraph" w:customStyle="1" w:styleId="A45131FE613A48A392009E423B8BF788">
    <w:name w:val="A45131FE613A48A392009E423B8BF788"/>
    <w:rsid w:val="008376FD"/>
  </w:style>
  <w:style w:type="paragraph" w:customStyle="1" w:styleId="5D588CB01F9745B5A26CCFDCD0633352">
    <w:name w:val="5D588CB01F9745B5A26CCFDCD0633352"/>
    <w:rsid w:val="00C859B9"/>
    <w:rPr>
      <w:lang w:eastAsia="en-US"/>
    </w:rPr>
  </w:style>
  <w:style w:type="paragraph" w:customStyle="1" w:styleId="725D71B779824FE89E194695C3C22043">
    <w:name w:val="725D71B779824FE89E194695C3C22043"/>
    <w:rsid w:val="00C859B9"/>
    <w:rPr>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A2AFD3880219864A928DAED29AE7136A" ma:contentTypeVersion="15" ma:contentTypeDescription="Create a new document." ma:contentTypeScope="" ma:versionID="cd60c73b60fb02e54903c26b39bd886f">
  <xsd:schema xmlns:xsd="http://www.w3.org/2001/XMLSchema" xmlns:xs="http://www.w3.org/2001/XMLSchema" xmlns:p="http://schemas.microsoft.com/office/2006/metadata/properties" xmlns:ns2="d5965222-a92f-4750-9212-90aa5485b6da" xmlns:ns3="3ad901d5-b755-4836-840f-82dabd17f8c4" xmlns:ns4="f07d8113-1d44-46cb-baa5-a742d0650dfc" targetNamespace="http://schemas.microsoft.com/office/2006/metadata/properties" ma:root="true" ma:fieldsID="a2aba300b96d5306b84c140200b56317" ns2:_="" ns3:_="" ns4:_="">
    <xsd:import namespace="d5965222-a92f-4750-9212-90aa5485b6da"/>
    <xsd:import namespace="3ad901d5-b755-4836-840f-82dabd17f8c4"/>
    <xsd:import namespace="f07d8113-1d44-46cb-baa5-a742d0650df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4:TaxCatchAll"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65222-a92f-4750-9212-90aa5485b6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db163b37-248a-4bdb-8038-6e8df1cc47ab"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d901d5-b755-4836-840f-82dabd17f8c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7d8113-1d44-46cb-baa5-a742d0650dfc"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5e48467-38d1-4597-b387-8132633d9e84}" ma:internalName="TaxCatchAll" ma:showField="CatchAllData" ma:web="3ad901d5-b755-4836-840f-82dabd17f8c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f07d8113-1d44-46cb-baa5-a742d0650dfc" xsi:nil="true"/>
    <lcf76f155ced4ddcb4097134ff3c332f xmlns="d5965222-a92f-4750-9212-90aa5485b6d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4169AE1-E064-428B-9CCF-59E97E45620B}">
  <ds:schemaRefs>
    <ds:schemaRef ds:uri="http://schemas.microsoft.com/sharepoint/v3/contenttype/forms"/>
  </ds:schemaRefs>
</ds:datastoreItem>
</file>

<file path=customXml/itemProps2.xml><?xml version="1.0" encoding="utf-8"?>
<ds:datastoreItem xmlns:ds="http://schemas.openxmlformats.org/officeDocument/2006/customXml" ds:itemID="{9EF7906D-A3B9-46A1-A813-75385666A2C5}">
  <ds:schemaRefs>
    <ds:schemaRef ds:uri="http://schemas.openxmlformats.org/officeDocument/2006/bibliography"/>
  </ds:schemaRefs>
</ds:datastoreItem>
</file>

<file path=customXml/itemProps3.xml><?xml version="1.0" encoding="utf-8"?>
<ds:datastoreItem xmlns:ds="http://schemas.openxmlformats.org/officeDocument/2006/customXml" ds:itemID="{511C3DCB-691C-453E-84BA-F7FA6C3171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965222-a92f-4750-9212-90aa5485b6da"/>
    <ds:schemaRef ds:uri="3ad901d5-b755-4836-840f-82dabd17f8c4"/>
    <ds:schemaRef ds:uri="f07d8113-1d44-46cb-baa5-a742d0650d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28ACFF1-4095-483D-81AB-DDD451A921C5}">
  <ds:schemaRefs>
    <ds:schemaRef ds:uri="http://schemas.microsoft.com/office/2006/metadata/properties"/>
    <ds:schemaRef ds:uri="http://schemas.microsoft.com/office/infopath/2007/PartnerControls"/>
    <ds:schemaRef ds:uri="f07d8113-1d44-46cb-baa5-a742d0650dfc"/>
    <ds:schemaRef ds:uri="d5965222-a92f-4750-9212-90aa5485b6d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3189</Words>
  <Characters>18181</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Disability Inclusion Action Plan (DIAP) 2023 - 2026</vt:lpstr>
    </vt:vector>
  </TitlesOfParts>
  <Company>The University of Melbourne</Company>
  <LinksUpToDate>false</LinksUpToDate>
  <CharactersWithSpaces>21328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Disability Inclusion Action Plan (DIAP) 2023 - 2026</dc:title>
  <dc:subject/>
  <dc:creator>Xin-Fang Yu</dc:creator>
  <cp:keywords/>
  <dc:description/>
  <cp:lastModifiedBy>Fiona Bell</cp:lastModifiedBy>
  <cp:revision>3</cp:revision>
  <cp:lastPrinted>2023-03-02T00:04:00Z</cp:lastPrinted>
  <dcterms:created xsi:type="dcterms:W3CDTF">2023-08-18T03:51:00Z</dcterms:created>
  <dcterms:modified xsi:type="dcterms:W3CDTF">2023-08-18T03:52:00Z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0x010100A2AFD3880219864A928DAED29AE7136A</vt:lpwstr>
  </property>
  <property fmtid="{D5CDD505-2E9C-101B-9397-08002B2CF9AE}" pid="3" name="MediaServiceImageTags">
    <vt:lpwstr/>
  </property>
</Properties>
</file>